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13" w:rsidRPr="00EA6FEE" w:rsidRDefault="00A27113"/>
    <w:p w:rsidR="00EA6FEE" w:rsidRPr="00EA6FEE" w:rsidRDefault="00EA6FEE"/>
    <w:p w:rsidR="00EA6FEE" w:rsidRPr="00EA6FEE" w:rsidRDefault="00EA6FEE" w:rsidP="00EA6FEE">
      <w:pPr>
        <w:spacing w:line="360" w:lineRule="atLeast"/>
        <w:contextualSpacing w:val="0"/>
        <w:rPr>
          <w:rFonts w:eastAsia="Times New Roman" w:cs="Arial"/>
        </w:rPr>
      </w:pPr>
      <w:r w:rsidRPr="00EA6FEE">
        <w:rPr>
          <w:rFonts w:eastAsia="Times New Roman" w:cs="Arial"/>
        </w:rPr>
        <w:t>Goodwin Procter Alert</w:t>
      </w:r>
    </w:p>
    <w:p w:rsidR="00EA6FEE" w:rsidRPr="00EA6FEE" w:rsidRDefault="00EA6FEE" w:rsidP="00EA6FEE">
      <w:pPr>
        <w:spacing w:line="360" w:lineRule="atLeast"/>
        <w:contextualSpacing w:val="0"/>
        <w:rPr>
          <w:rFonts w:eastAsia="Times New Roman" w:cs="Arial"/>
        </w:rPr>
      </w:pPr>
      <w:r w:rsidRPr="00EA6FEE">
        <w:rPr>
          <w:rFonts w:eastAsia="Times New Roman" w:cs="Arial"/>
        </w:rPr>
        <w:t>6-30-2011</w:t>
      </w:r>
      <w:r w:rsidRPr="00EA6FEE">
        <w:rPr>
          <w:rFonts w:eastAsia="Times New Roman" w:cs="Arial"/>
        </w:rPr>
        <w:br/>
      </w:r>
    </w:p>
    <w:p w:rsidR="00EA6FEE" w:rsidRPr="00EA6FEE" w:rsidRDefault="00EA6FEE" w:rsidP="00EA6FEE">
      <w:pPr>
        <w:spacing w:line="360" w:lineRule="atLeast"/>
        <w:contextualSpacing w:val="0"/>
        <w:rPr>
          <w:rFonts w:eastAsia="Times New Roman" w:cs="Arial"/>
        </w:rPr>
      </w:pPr>
      <w:r w:rsidRPr="00EA6FEE">
        <w:rPr>
          <w:rFonts w:eastAsia="Times New Roman" w:cs="Arial"/>
        </w:rPr>
        <w:t>Advisers Act Alert Part 5: "Exempt Reporting Advisers" or "ERAs"</w:t>
      </w:r>
    </w:p>
    <w:p w:rsidR="00EA6FEE" w:rsidRPr="00EA6FEE" w:rsidRDefault="00EA6FEE" w:rsidP="00EA6FEE">
      <w:pPr>
        <w:spacing w:before="100" w:beforeAutospacing="1" w:after="100" w:afterAutospacing="1"/>
        <w:contextualSpacing w:val="0"/>
        <w:rPr>
          <w:rFonts w:eastAsia="Times New Roman" w:cs="Arial"/>
        </w:rPr>
      </w:pPr>
      <w:bookmarkStart w:id="0" w:name="_GoBack"/>
      <w:bookmarkEnd w:id="0"/>
      <w:r w:rsidRPr="00EA6FEE">
        <w:rPr>
          <w:rFonts w:eastAsia="Times New Roman" w:cs="Arial"/>
        </w:rPr>
        <w:t>Advisers who elect to be ERAs will not be required to register with the SEC, but they will be subject to reporting, recordkeeping and other obligations, such that their compliance obligations may be material and grow over time. In addition to compliance requirements that apply to advisers regardless of their registration status (e.g., Advisers Act anti-fraud provisions), ERAs must file a portion of Form ADV, have and enforce policies and procedures to prevent the misuse of material, nonpublic information, and comply with the Advisers Act “pay to play” rule, and may be subject to specific recordkeeping requirements. ERAs are subject the SEC’s examination authority.</w:t>
      </w:r>
    </w:p>
    <w:p w:rsidR="00EA6FEE" w:rsidRPr="00EA6FEE" w:rsidRDefault="00EA6FEE" w:rsidP="00EA6FEE">
      <w:pPr>
        <w:spacing w:before="100" w:beforeAutospacing="1" w:after="100" w:afterAutospacing="1"/>
        <w:contextualSpacing w:val="0"/>
        <w:rPr>
          <w:rFonts w:eastAsia="Times New Roman" w:cs="Arial"/>
        </w:rPr>
      </w:pPr>
      <w:bookmarkStart w:id="1" w:name="8"/>
      <w:r w:rsidRPr="00EA6FEE">
        <w:rPr>
          <w:rFonts w:eastAsia="Times New Roman" w:cs="Arial"/>
          <w:b/>
          <w:bCs/>
          <w:i/>
          <w:iCs/>
        </w:rPr>
        <w:t>Form ADV Filing Obligation</w:t>
      </w:r>
      <w:bookmarkEnd w:id="1"/>
      <w:r w:rsidRPr="00EA6FEE">
        <w:rPr>
          <w:rFonts w:eastAsia="Times New Roman" w:cs="Arial"/>
          <w:b/>
          <w:bCs/>
          <w:i/>
          <w:iCs/>
        </w:rPr>
        <w:t>.</w:t>
      </w:r>
      <w:r w:rsidRPr="00EA6FEE">
        <w:rPr>
          <w:rFonts w:eastAsia="Times New Roman" w:cs="Arial"/>
          <w:b/>
          <w:bCs/>
        </w:rPr>
        <w:t xml:space="preserve"> </w:t>
      </w:r>
      <w:r w:rsidRPr="00EA6FEE">
        <w:rPr>
          <w:rFonts w:eastAsia="Times New Roman" w:cs="Arial"/>
        </w:rPr>
        <w:t>The Implementing Release provides that ERAs must file their initial Form ADV between January 1, 2012 and March 30, 2012. After March 30, new ERAs must file within 60 days of relying upon the Venture Capital Exemption or the Private Fund Adviser Exemption. ERAs must file the same Form ADV as RIAs, although ERAs need only respond to certain specified items and questions. Notably, an ERA must attest that it qualifies for either the Venture Capital Exemption or the Private Fund Adviser Exemption. Furthermore, the SEC rejected suggestions by commentators that some or all of this information receive confidential treatment – for now at least, the information will be publicly available online.</w:t>
      </w:r>
    </w:p>
    <w:p w:rsidR="00EA6FEE" w:rsidRPr="00EA6FEE" w:rsidRDefault="00EA6FEE" w:rsidP="00EA6FEE">
      <w:pPr>
        <w:numPr>
          <w:ilvl w:val="0"/>
          <w:numId w:val="1"/>
        </w:numPr>
        <w:spacing w:before="100" w:beforeAutospacing="1" w:after="150"/>
        <w:ind w:left="0"/>
        <w:contextualSpacing w:val="0"/>
        <w:rPr>
          <w:rFonts w:eastAsia="Times New Roman" w:cs="Arial"/>
        </w:rPr>
      </w:pPr>
      <w:r w:rsidRPr="00EA6FEE">
        <w:rPr>
          <w:rFonts w:eastAsia="Times New Roman" w:cs="Arial"/>
          <w:b/>
          <w:bCs/>
          <w:i/>
          <w:iCs/>
        </w:rPr>
        <w:t>Required Information.</w:t>
      </w:r>
      <w:r w:rsidRPr="00EA6FEE">
        <w:rPr>
          <w:rFonts w:eastAsia="Times New Roman" w:cs="Arial"/>
          <w:b/>
          <w:bCs/>
        </w:rPr>
        <w:t xml:space="preserve"> </w:t>
      </w:r>
      <w:r w:rsidRPr="00EA6FEE">
        <w:rPr>
          <w:rFonts w:eastAsia="Times New Roman" w:cs="Arial"/>
        </w:rPr>
        <w:t xml:space="preserve">Although ERAs will not file a full Form ADV, the required ADV filing will disclose significant information regarding the adviser and its business. ERAs will be required to complete Form ADV Items 1 (Identifying Information), 2.B (SEC Reporting by Exempt Reporting Advisers), 3 (Form of Organization), 6 (Other Business Activities), 7 (Financial Industry Affiliations and Private Fund Reporting), 10 (Control Persons) and 11 (Disclosure Information), along with the corresponding sections of Schedules A, B, C and D. Answers to these items will disclose basic information about the adviser, details about the private funds it advises (name, domicile, investment strategy, gross assets, etc.), other business interests of the adviser and its affiliates, and disciplinary history of the adviser and its employees. For more details on the specific disclosure that will be required please see: (1) the discussion below on Amendments to Form ADV; and (2) a version of the Form ADV that has been highlighted to show the provisions most relevant to ERAs, which is available here. </w:t>
      </w:r>
    </w:p>
    <w:p w:rsidR="00EA6FEE" w:rsidRPr="00EA6FEE" w:rsidRDefault="00EA6FEE" w:rsidP="00EA6FEE">
      <w:pPr>
        <w:numPr>
          <w:ilvl w:val="0"/>
          <w:numId w:val="1"/>
        </w:numPr>
        <w:spacing w:before="100" w:beforeAutospacing="1" w:after="150"/>
        <w:ind w:left="0"/>
        <w:contextualSpacing w:val="0"/>
        <w:rPr>
          <w:rFonts w:eastAsia="Times New Roman" w:cs="Arial"/>
        </w:rPr>
      </w:pPr>
      <w:r w:rsidRPr="00EA6FEE">
        <w:rPr>
          <w:rFonts w:eastAsia="Times New Roman" w:cs="Arial"/>
          <w:b/>
          <w:bCs/>
          <w:i/>
          <w:iCs/>
        </w:rPr>
        <w:t>Public Availability of Reports.</w:t>
      </w:r>
      <w:r w:rsidRPr="00EA6FEE">
        <w:rPr>
          <w:rFonts w:eastAsia="Times New Roman" w:cs="Arial"/>
          <w:b/>
          <w:bCs/>
        </w:rPr>
        <w:t xml:space="preserve"> </w:t>
      </w:r>
      <w:r w:rsidRPr="00EA6FEE">
        <w:rPr>
          <w:rFonts w:eastAsia="Times New Roman" w:cs="Arial"/>
        </w:rPr>
        <w:t>In the Implementing Release, the SEC reiterated its decision that, under the Advisers Act, reports filed with the SEC must be made available to the public unless the SEC decides the disclosure of such information is “neither necessary nor appropriate in the public interest or for the protection of investors.”</w:t>
      </w:r>
      <w:r w:rsidRPr="00EA6FEE">
        <w:rPr>
          <w:rFonts w:eastAsia="Times New Roman" w:cs="Arial"/>
          <w:vertAlign w:val="superscript"/>
        </w:rPr>
        <w:t>5</w:t>
      </w:r>
      <w:r w:rsidRPr="00EA6FEE">
        <w:rPr>
          <w:rFonts w:eastAsia="Times New Roman" w:cs="Arial"/>
        </w:rPr>
        <w:t xml:space="preserve"> Therefore, all of the information filed by ERAs on Form ADV will be available to the public through IARD. </w:t>
      </w:r>
    </w:p>
    <w:p w:rsidR="00EA6FEE" w:rsidRPr="00EA6FEE" w:rsidRDefault="00EA6FEE" w:rsidP="00EA6FEE">
      <w:pPr>
        <w:numPr>
          <w:ilvl w:val="0"/>
          <w:numId w:val="1"/>
        </w:numPr>
        <w:spacing w:before="100" w:beforeAutospacing="1" w:after="150"/>
        <w:ind w:left="0"/>
        <w:contextualSpacing w:val="0"/>
        <w:rPr>
          <w:rFonts w:eastAsia="Times New Roman" w:cs="Arial"/>
        </w:rPr>
      </w:pPr>
      <w:r w:rsidRPr="00EA6FEE">
        <w:rPr>
          <w:rFonts w:eastAsia="Times New Roman" w:cs="Arial"/>
          <w:b/>
          <w:bCs/>
          <w:i/>
          <w:iCs/>
        </w:rPr>
        <w:lastRenderedPageBreak/>
        <w:t>Updating Requirements.</w:t>
      </w:r>
      <w:r w:rsidRPr="00EA6FEE">
        <w:rPr>
          <w:rFonts w:eastAsia="Times New Roman" w:cs="Arial"/>
          <w:b/>
          <w:bCs/>
        </w:rPr>
        <w:t xml:space="preserve"> </w:t>
      </w:r>
      <w:r w:rsidRPr="00EA6FEE">
        <w:rPr>
          <w:rFonts w:eastAsia="Times New Roman" w:cs="Arial"/>
        </w:rPr>
        <w:t xml:space="preserve">An ERA will be required to update its Form ADV on the same timetable and for the same reasons as a registered investment adviser: at least annually within 90 days of the end of the adviser’s fiscal year, and more frequently for material developments as required by the instructions to Form ADV. </w:t>
      </w:r>
    </w:p>
    <w:p w:rsidR="00EA6FEE" w:rsidRPr="00EA6FEE" w:rsidRDefault="00EA6FEE" w:rsidP="00EA6FEE">
      <w:pPr>
        <w:numPr>
          <w:ilvl w:val="0"/>
          <w:numId w:val="1"/>
        </w:numPr>
        <w:spacing w:before="100" w:beforeAutospacing="1" w:after="150"/>
        <w:ind w:left="0"/>
        <w:contextualSpacing w:val="0"/>
        <w:rPr>
          <w:rFonts w:eastAsia="Times New Roman" w:cs="Arial"/>
        </w:rPr>
      </w:pPr>
      <w:r w:rsidRPr="00EA6FEE">
        <w:rPr>
          <w:rFonts w:eastAsia="Times New Roman" w:cs="Arial"/>
          <w:b/>
          <w:bCs/>
          <w:i/>
          <w:iCs/>
        </w:rPr>
        <w:t>Ongoing Reporting Obligations.</w:t>
      </w:r>
      <w:r w:rsidRPr="00EA6FEE">
        <w:rPr>
          <w:rFonts w:eastAsia="Times New Roman" w:cs="Arial"/>
          <w:b/>
          <w:bCs/>
        </w:rPr>
        <w:t xml:space="preserve"> </w:t>
      </w:r>
      <w:r w:rsidRPr="00EA6FEE">
        <w:rPr>
          <w:rFonts w:eastAsia="Times New Roman" w:cs="Arial"/>
        </w:rPr>
        <w:t xml:space="preserve">In Chairman Mary Schapiro’s Opening Statement during last week’s open meeting, she announced that she has directed the SEC staff to reconsider the information the SEC collects from ERAs after the SEC receives and assesses the first year’s ERA filings (although this direction does not appear explicitly in last week’s rule releases). During the same open meeting, a majority of the Commissioners voted in favor of the ERA reporting requirements, but the two dissenting Commissioners expressed concern about the extent of ERA reporting obligations and the possibility that, particularly over time, and in light of the SEC’s examination authority over ERAs, there may be no meaningful distinction between ERA and RIA reporting </w:t>
      </w:r>
      <w:proofErr w:type="gramStart"/>
      <w:r w:rsidRPr="00EA6FEE">
        <w:rPr>
          <w:rFonts w:eastAsia="Times New Roman" w:cs="Arial"/>
        </w:rPr>
        <w:t>obligations .</w:t>
      </w:r>
      <w:proofErr w:type="gramEnd"/>
      <w:r w:rsidRPr="00EA6FEE">
        <w:rPr>
          <w:rFonts w:eastAsia="Times New Roman" w:cs="Arial"/>
        </w:rPr>
        <w:t xml:space="preserve"> </w:t>
      </w:r>
    </w:p>
    <w:p w:rsidR="00EA6FEE" w:rsidRPr="00EA6FEE" w:rsidRDefault="00EA6FEE" w:rsidP="00EA6FEE">
      <w:pPr>
        <w:spacing w:before="100" w:beforeAutospacing="1" w:after="100" w:afterAutospacing="1"/>
        <w:contextualSpacing w:val="0"/>
        <w:rPr>
          <w:rFonts w:eastAsia="Times New Roman" w:cs="Arial"/>
        </w:rPr>
      </w:pPr>
      <w:proofErr w:type="gramStart"/>
      <w:r w:rsidRPr="00EA6FEE">
        <w:rPr>
          <w:rFonts w:eastAsia="Times New Roman" w:cs="Arial"/>
          <w:b/>
          <w:bCs/>
          <w:i/>
          <w:iCs/>
        </w:rPr>
        <w:t>Recordkeeping Requirements.</w:t>
      </w:r>
      <w:proofErr w:type="gramEnd"/>
      <w:r w:rsidRPr="00EA6FEE">
        <w:rPr>
          <w:rFonts w:eastAsia="Times New Roman" w:cs="Arial"/>
          <w:b/>
          <w:bCs/>
        </w:rPr>
        <w:t xml:space="preserve"> </w:t>
      </w:r>
      <w:r w:rsidRPr="00EA6FEE">
        <w:rPr>
          <w:rFonts w:eastAsia="Times New Roman" w:cs="Arial"/>
        </w:rPr>
        <w:t xml:space="preserve">Section 204 of the Advisers Act requires investment advisers to make and keep such records and to make and disseminate such reports as the SEC may prescribe by rule. There is an express exemption for advisers exempt under Section 203(b) (such as foreign private advisers) but not for ERAs. Accordingly, ERAs could be subject to SEC recordkeeping requirements, and the SEC will have the authority to examine such records. Specific recordkeeping obligations, which could significantly increase </w:t>
      </w:r>
      <w:proofErr w:type="spellStart"/>
      <w:r w:rsidRPr="00EA6FEE">
        <w:rPr>
          <w:rFonts w:eastAsia="Times New Roman" w:cs="Arial"/>
        </w:rPr>
        <w:t>ERAs’</w:t>
      </w:r>
      <w:proofErr w:type="spellEnd"/>
      <w:r w:rsidRPr="00EA6FEE">
        <w:rPr>
          <w:rFonts w:eastAsia="Times New Roman" w:cs="Arial"/>
        </w:rPr>
        <w:t xml:space="preserve"> compliance costs, have not been established, but could be the subject of future SEC rulemaking.</w:t>
      </w:r>
    </w:p>
    <w:p w:rsidR="00EA6FEE" w:rsidRPr="00EA6FEE" w:rsidRDefault="00EA6FEE" w:rsidP="00EA6FEE">
      <w:pPr>
        <w:spacing w:before="100" w:beforeAutospacing="1" w:after="100" w:afterAutospacing="1"/>
        <w:contextualSpacing w:val="0"/>
        <w:rPr>
          <w:rFonts w:eastAsia="Times New Roman" w:cs="Arial"/>
        </w:rPr>
      </w:pPr>
      <w:proofErr w:type="gramStart"/>
      <w:r w:rsidRPr="00EA6FEE">
        <w:rPr>
          <w:rFonts w:eastAsia="Times New Roman" w:cs="Arial"/>
          <w:b/>
          <w:bCs/>
          <w:i/>
          <w:iCs/>
        </w:rPr>
        <w:t>Policies Regarding Material Non-Public Information (“MNPI”).</w:t>
      </w:r>
      <w:proofErr w:type="gramEnd"/>
      <w:r w:rsidRPr="00EA6FEE">
        <w:rPr>
          <w:rFonts w:eastAsia="Times New Roman" w:cs="Arial"/>
          <w:b/>
          <w:bCs/>
        </w:rPr>
        <w:t xml:space="preserve"> </w:t>
      </w:r>
      <w:r w:rsidRPr="00EA6FEE">
        <w:rPr>
          <w:rFonts w:eastAsia="Times New Roman" w:cs="Arial"/>
        </w:rPr>
        <w:t>Section 204A of the Advisers Act includes a general requirement that all advisers subject to Section 204 (which now includes ERAs) “establish, maintain, and enforce written policies and procedures reasonably designed, taking into consideration the nature of such investment adviser’s business, to prevent the misuse in violation of this Act or the Securities Exchange Act of 1934, or the rules or regulations thereunder, of material, nonpublic information by such investment adviser or any person associated with such investment adviser.” ERAs should consider the nature of their businesses and establish appropriate written policies designed to prevent the misuse of MNPI.</w:t>
      </w:r>
    </w:p>
    <w:p w:rsidR="00EA6FEE" w:rsidRPr="00EA6FEE" w:rsidRDefault="00EA6FEE" w:rsidP="00EA6FEE">
      <w:pPr>
        <w:spacing w:before="100" w:beforeAutospacing="1" w:after="100" w:afterAutospacing="1"/>
        <w:contextualSpacing w:val="0"/>
        <w:rPr>
          <w:rFonts w:eastAsia="Times New Roman" w:cs="Arial"/>
        </w:rPr>
      </w:pPr>
      <w:proofErr w:type="gramStart"/>
      <w:r w:rsidRPr="00EA6FEE">
        <w:rPr>
          <w:rFonts w:eastAsia="Times New Roman" w:cs="Arial"/>
          <w:b/>
          <w:bCs/>
          <w:i/>
          <w:iCs/>
        </w:rPr>
        <w:t>SEC Examination.</w:t>
      </w:r>
      <w:proofErr w:type="gramEnd"/>
      <w:r w:rsidRPr="00EA6FEE">
        <w:rPr>
          <w:rFonts w:eastAsia="Times New Roman" w:cs="Arial"/>
          <w:b/>
          <w:bCs/>
        </w:rPr>
        <w:t xml:space="preserve"> </w:t>
      </w:r>
      <w:r w:rsidRPr="00EA6FEE">
        <w:rPr>
          <w:rFonts w:eastAsia="Times New Roman" w:cs="Arial"/>
        </w:rPr>
        <w:t xml:space="preserve">The new rules do not </w:t>
      </w:r>
      <w:r w:rsidRPr="00EA6FEE">
        <w:rPr>
          <w:rFonts w:eastAsia="Times New Roman" w:cs="Arial"/>
          <w:i/>
          <w:iCs/>
        </w:rPr>
        <w:t>require</w:t>
      </w:r>
      <w:r w:rsidRPr="00EA6FEE">
        <w:rPr>
          <w:rFonts w:eastAsia="Times New Roman" w:cs="Arial"/>
        </w:rPr>
        <w:t xml:space="preserve"> ERAs to undergo routine SEC compliance examinations. However, the Implementing Release reiterates the SEC’s authority to examine </w:t>
      </w:r>
      <w:proofErr w:type="spellStart"/>
      <w:r w:rsidRPr="00EA6FEE">
        <w:rPr>
          <w:rFonts w:eastAsia="Times New Roman" w:cs="Arial"/>
        </w:rPr>
        <w:t>ERAs’</w:t>
      </w:r>
      <w:proofErr w:type="spellEnd"/>
      <w:r w:rsidRPr="00EA6FEE">
        <w:rPr>
          <w:rFonts w:eastAsia="Times New Roman" w:cs="Arial"/>
        </w:rPr>
        <w:t xml:space="preserve"> records, leaving the door open for more regular and robust non-cause examinations. The SEC expects to conduct cause examinations of ERAs when it believes there have been “indications of wrongdoing, e.g., those examinations prompted by tips, complaints, and referrals.”</w:t>
      </w:r>
    </w:p>
    <w:p w:rsidR="00EA6FEE" w:rsidRPr="00EA6FEE" w:rsidRDefault="00EA6FEE" w:rsidP="00EA6FEE">
      <w:pPr>
        <w:spacing w:before="100" w:beforeAutospacing="1" w:after="100" w:afterAutospacing="1"/>
        <w:contextualSpacing w:val="0"/>
        <w:rPr>
          <w:rFonts w:eastAsia="Times New Roman" w:cs="Arial"/>
        </w:rPr>
      </w:pPr>
      <w:proofErr w:type="gramStart"/>
      <w:r w:rsidRPr="00EA6FEE">
        <w:rPr>
          <w:rFonts w:eastAsia="Times New Roman" w:cs="Arial"/>
          <w:b/>
          <w:bCs/>
          <w:i/>
          <w:iCs/>
        </w:rPr>
        <w:t>Transition Period.</w:t>
      </w:r>
      <w:proofErr w:type="gramEnd"/>
      <w:r w:rsidRPr="00EA6FEE">
        <w:rPr>
          <w:rFonts w:eastAsia="Times New Roman" w:cs="Arial"/>
          <w:b/>
          <w:bCs/>
        </w:rPr>
        <w:t xml:space="preserve"> </w:t>
      </w:r>
      <w:r w:rsidRPr="00EA6FEE">
        <w:rPr>
          <w:rFonts w:eastAsia="Times New Roman" w:cs="Arial"/>
        </w:rPr>
        <w:t xml:space="preserve">After March 30, 2012, an ERA relying on the Private Fund Adviser Exemption that has complied with all of its reporting obligations may continue to advise private funds for up to 90 days after filing its annual updating amendment stating that its assets under management in the U.S. equal or exceed $150 million before filing its application for registration. This transition period is not available to an ERA that relies </w:t>
      </w:r>
      <w:r w:rsidRPr="00EA6FEE">
        <w:rPr>
          <w:rFonts w:eastAsia="Times New Roman" w:cs="Arial"/>
        </w:rPr>
        <w:lastRenderedPageBreak/>
        <w:t>on the Venture Capital Exemption, but anticipates losing the benefit of the exemption. For example, an ERA relying on the Venture Capital Exemption must register with the SEC before advising any client that is not a VC Fund (as defined below) or before making a non-qualifying investment in a VC fund that would cause the VC fund to exceed the 20% basket.</w:t>
      </w:r>
    </w:p>
    <w:p w:rsidR="00EA6FEE" w:rsidRPr="00EA6FEE" w:rsidRDefault="00EA6FEE" w:rsidP="00EA6FEE">
      <w:pPr>
        <w:spacing w:before="100" w:beforeAutospacing="1" w:after="100" w:afterAutospacing="1"/>
        <w:contextualSpacing w:val="0"/>
        <w:rPr>
          <w:rFonts w:eastAsia="Times New Roman" w:cs="Arial"/>
        </w:rPr>
      </w:pPr>
      <w:proofErr w:type="gramStart"/>
      <w:r w:rsidRPr="00EA6FEE">
        <w:rPr>
          <w:rFonts w:eastAsia="Times New Roman" w:cs="Arial"/>
          <w:b/>
          <w:bCs/>
          <w:i/>
          <w:iCs/>
        </w:rPr>
        <w:t>Additional Considerations.</w:t>
      </w:r>
      <w:proofErr w:type="gramEnd"/>
      <w:r w:rsidRPr="00EA6FEE">
        <w:rPr>
          <w:rFonts w:eastAsia="Times New Roman" w:cs="Arial"/>
          <w:b/>
          <w:bCs/>
        </w:rPr>
        <w:t xml:space="preserve"> </w:t>
      </w:r>
      <w:r w:rsidRPr="00EA6FEE">
        <w:rPr>
          <w:rFonts w:eastAsia="Times New Roman" w:cs="Arial"/>
        </w:rPr>
        <w:t xml:space="preserve">ERAs will have a newly created status for regulatory </w:t>
      </w:r>
      <w:proofErr w:type="gramStart"/>
      <w:r w:rsidRPr="00EA6FEE">
        <w:rPr>
          <w:rFonts w:eastAsia="Times New Roman" w:cs="Arial"/>
        </w:rPr>
        <w:t>purposes that differs</w:t>
      </w:r>
      <w:proofErr w:type="gramEnd"/>
      <w:r w:rsidRPr="00EA6FEE">
        <w:rPr>
          <w:rFonts w:eastAsia="Times New Roman" w:cs="Arial"/>
        </w:rPr>
        <w:t xml:space="preserve"> from a simple registration exemption. Accordingly, they may need to give special consideration to various contractual and operational matters. For example, they may wish to consider: (1) whether their existing insurance coverage is sufficient to cover increased regulatory compliance risks or should be upgraded; (2) whether to update undertakings previously made to investors, clients, lenders, landlords or others regarding the availability of registration exemptions; and (3) whether to modify any ongoing disclosure documents that describe such exemptions. They should also monitor regulatory developments under the laws of the states in which they may be doing business, and consider whether other regulations (</w:t>
      </w:r>
      <w:r w:rsidRPr="00EA6FEE">
        <w:rPr>
          <w:rFonts w:eastAsia="Times New Roman" w:cs="Arial"/>
          <w:i/>
          <w:iCs/>
        </w:rPr>
        <w:t>e.g.,</w:t>
      </w:r>
      <w:r w:rsidRPr="00EA6FEE">
        <w:rPr>
          <w:rFonts w:eastAsia="Times New Roman" w:cs="Arial"/>
        </w:rPr>
        <w:t xml:space="preserve"> non-U.S. regulations and CFTC regulations) may entail different consequences for an ERA than they have for an RIA or an adviser that previously relied on the “fewer than 15 clients” private adviser exemption.</w:t>
      </w:r>
    </w:p>
    <w:p w:rsidR="00EA6FEE" w:rsidRPr="00EA6FEE" w:rsidRDefault="00EA6FEE" w:rsidP="00EA6FEE">
      <w:pPr>
        <w:contextualSpacing w:val="0"/>
        <w:rPr>
          <w:rFonts w:eastAsia="Times New Roman" w:cs="Arial"/>
        </w:rPr>
      </w:pPr>
      <w:r w:rsidRPr="00EA6FEE">
        <w:rPr>
          <w:rFonts w:eastAsia="Times New Roman" w:cs="Arial"/>
        </w:rPr>
        <w:br w:type="textWrapping" w:clear="all"/>
      </w:r>
    </w:p>
    <w:p w:rsidR="00EA6FEE" w:rsidRPr="00EA6FEE" w:rsidRDefault="00EA6FEE" w:rsidP="00EA6FEE">
      <w:pPr>
        <w:spacing w:before="240" w:after="240"/>
        <w:contextualSpacing w:val="0"/>
        <w:rPr>
          <w:rFonts w:eastAsia="Times New Roman" w:cs="Arial"/>
        </w:rPr>
      </w:pPr>
      <w:r w:rsidRPr="00EA6FEE">
        <w:rPr>
          <w:rFonts w:eastAsia="Times New Roman" w:cs="Arial"/>
        </w:rPr>
        <w:pict>
          <v:rect id="_x0000_i1025" style="width:154.45pt;height:.75pt" o:hrpct="330" o:hrstd="t" o:hr="t" fillcolor="gray" stroked="f"/>
        </w:pict>
      </w:r>
    </w:p>
    <w:p w:rsidR="00EA6FEE" w:rsidRPr="00EA6FEE" w:rsidRDefault="00EA6FEE" w:rsidP="00EA6FEE">
      <w:pPr>
        <w:spacing w:before="100" w:beforeAutospacing="1" w:after="100" w:afterAutospacing="1"/>
        <w:contextualSpacing w:val="0"/>
        <w:rPr>
          <w:rFonts w:eastAsia="Times New Roman" w:cs="Arial"/>
        </w:rPr>
      </w:pPr>
      <w:r w:rsidRPr="00EA6FEE">
        <w:rPr>
          <w:rFonts w:eastAsia="Times New Roman" w:cs="Arial"/>
        </w:rPr>
        <w:t>5 Please see the Implementing Release, page 49.</w:t>
      </w:r>
    </w:p>
    <w:p w:rsidR="00EA6FEE" w:rsidRPr="00EA6FEE" w:rsidRDefault="00EA6FEE" w:rsidP="00EA6FEE">
      <w:pPr>
        <w:spacing w:after="90" w:line="270" w:lineRule="atLeast"/>
        <w:contextualSpacing w:val="0"/>
        <w:outlineLvl w:val="2"/>
        <w:rPr>
          <w:rFonts w:eastAsia="Times New Roman" w:cs="Arial"/>
        </w:rPr>
      </w:pPr>
      <w:r w:rsidRPr="00EA6FEE">
        <w:rPr>
          <w:rFonts w:eastAsia="Times New Roman" w:cs="Arial"/>
        </w:rPr>
        <w:pict/>
      </w:r>
      <w:r w:rsidRPr="00EA6FEE">
        <w:rPr>
          <w:rFonts w:eastAsia="Times New Roman" w:cs="Arial"/>
        </w:rPr>
        <w:t>IN THIS ISSUE:</w:t>
      </w:r>
    </w:p>
    <w:p w:rsidR="00EA6FEE" w:rsidRPr="00EA6FEE" w:rsidRDefault="00EA6FEE" w:rsidP="00EA6FEE">
      <w:pPr>
        <w:numPr>
          <w:ilvl w:val="0"/>
          <w:numId w:val="2"/>
        </w:numPr>
        <w:spacing w:after="75"/>
        <w:ind w:left="390"/>
        <w:contextualSpacing w:val="0"/>
        <w:rPr>
          <w:rFonts w:eastAsia="Times New Roman" w:cs="Arial"/>
        </w:rPr>
      </w:pPr>
      <w:hyperlink r:id="rId6" w:anchor="news_article_top" w:history="1">
        <w:r w:rsidRPr="00EA6FEE">
          <w:rPr>
            <w:rFonts w:eastAsia="Times New Roman" w:cs="Arial"/>
          </w:rPr>
          <w:t>Advisers Act Alert Part 1: SEC Adopts New Advisers Act Rules and Implements Registration Exemptions</w:t>
        </w:r>
      </w:hyperlink>
    </w:p>
    <w:p w:rsidR="00EA6FEE" w:rsidRPr="00EA6FEE" w:rsidRDefault="00EA6FEE" w:rsidP="00EA6FEE">
      <w:pPr>
        <w:numPr>
          <w:ilvl w:val="0"/>
          <w:numId w:val="2"/>
        </w:numPr>
        <w:spacing w:after="75"/>
        <w:ind w:left="390"/>
        <w:contextualSpacing w:val="0"/>
        <w:rPr>
          <w:rFonts w:eastAsia="Times New Roman" w:cs="Arial"/>
        </w:rPr>
      </w:pPr>
      <w:hyperlink r:id="rId7" w:anchor="news_article_top" w:history="1">
        <w:r w:rsidRPr="00EA6FEE">
          <w:rPr>
            <w:rFonts w:eastAsia="Times New Roman" w:cs="Arial"/>
          </w:rPr>
          <w:t>Advisers Act Alert Part 2: Executive Summary</w:t>
        </w:r>
      </w:hyperlink>
    </w:p>
    <w:p w:rsidR="00EA6FEE" w:rsidRPr="00EA6FEE" w:rsidRDefault="00EA6FEE" w:rsidP="00EA6FEE">
      <w:pPr>
        <w:numPr>
          <w:ilvl w:val="0"/>
          <w:numId w:val="2"/>
        </w:numPr>
        <w:spacing w:after="75"/>
        <w:ind w:left="390"/>
        <w:contextualSpacing w:val="0"/>
        <w:rPr>
          <w:rFonts w:eastAsia="Times New Roman" w:cs="Arial"/>
        </w:rPr>
      </w:pPr>
      <w:hyperlink r:id="rId8" w:anchor="news_article_top" w:history="1">
        <w:r w:rsidRPr="00EA6FEE">
          <w:rPr>
            <w:rFonts w:eastAsia="Times New Roman" w:cs="Arial"/>
          </w:rPr>
          <w:t>Advisers Act Alert Part 3: Timing and Exemptions During the Next Year</w:t>
        </w:r>
      </w:hyperlink>
    </w:p>
    <w:p w:rsidR="00EA6FEE" w:rsidRPr="00EA6FEE" w:rsidRDefault="00EA6FEE" w:rsidP="00EA6FEE">
      <w:pPr>
        <w:numPr>
          <w:ilvl w:val="0"/>
          <w:numId w:val="2"/>
        </w:numPr>
        <w:spacing w:after="75"/>
        <w:ind w:left="390"/>
        <w:contextualSpacing w:val="0"/>
        <w:rPr>
          <w:rFonts w:eastAsia="Times New Roman" w:cs="Arial"/>
        </w:rPr>
      </w:pPr>
      <w:hyperlink r:id="rId9" w:anchor="news_article_top" w:history="1">
        <w:r w:rsidRPr="00EA6FEE">
          <w:rPr>
            <w:rFonts w:eastAsia="Times New Roman" w:cs="Arial"/>
          </w:rPr>
          <w:t>Advisers Act Alert Part 4: Foreign Private Adviser Exemption</w:t>
        </w:r>
      </w:hyperlink>
    </w:p>
    <w:p w:rsidR="00EA6FEE" w:rsidRPr="00EA6FEE" w:rsidRDefault="00EA6FEE" w:rsidP="00EA6FEE">
      <w:pPr>
        <w:numPr>
          <w:ilvl w:val="0"/>
          <w:numId w:val="2"/>
        </w:numPr>
        <w:spacing w:after="75"/>
        <w:ind w:left="390"/>
        <w:contextualSpacing w:val="0"/>
        <w:rPr>
          <w:rFonts w:eastAsia="Times New Roman" w:cs="Arial"/>
        </w:rPr>
      </w:pPr>
      <w:r w:rsidRPr="00EA6FEE">
        <w:rPr>
          <w:rFonts w:eastAsia="Times New Roman" w:cs="Arial"/>
        </w:rPr>
        <w:t>Advisers Act Alert Part 5: "Exempt Reporting Advisers" or "ERAs"</w:t>
      </w:r>
    </w:p>
    <w:p w:rsidR="00EA6FEE" w:rsidRPr="00EA6FEE" w:rsidRDefault="00EA6FEE" w:rsidP="00EA6FEE">
      <w:pPr>
        <w:numPr>
          <w:ilvl w:val="0"/>
          <w:numId w:val="2"/>
        </w:numPr>
        <w:spacing w:after="75"/>
        <w:ind w:left="390"/>
        <w:contextualSpacing w:val="0"/>
        <w:rPr>
          <w:rFonts w:eastAsia="Times New Roman" w:cs="Arial"/>
        </w:rPr>
      </w:pPr>
      <w:hyperlink r:id="rId10" w:anchor="news_article_top" w:history="1">
        <w:r w:rsidRPr="00EA6FEE">
          <w:rPr>
            <w:rFonts w:eastAsia="Times New Roman" w:cs="Arial"/>
          </w:rPr>
          <w:t>Advisers Act Alert Part 6: Registration Exemption for "Venture Capital Fund" Advisers</w:t>
        </w:r>
      </w:hyperlink>
    </w:p>
    <w:p w:rsidR="00EA6FEE" w:rsidRPr="00EA6FEE" w:rsidRDefault="00EA6FEE" w:rsidP="00EA6FEE">
      <w:pPr>
        <w:numPr>
          <w:ilvl w:val="0"/>
          <w:numId w:val="2"/>
        </w:numPr>
        <w:spacing w:after="75"/>
        <w:ind w:left="390"/>
        <w:contextualSpacing w:val="0"/>
        <w:rPr>
          <w:rFonts w:eastAsia="Times New Roman" w:cs="Arial"/>
        </w:rPr>
      </w:pPr>
      <w:hyperlink r:id="rId11" w:anchor="news_article_top" w:history="1">
        <w:r w:rsidRPr="00EA6FEE">
          <w:rPr>
            <w:rFonts w:eastAsia="Times New Roman" w:cs="Arial"/>
          </w:rPr>
          <w:t>Advisers Act Alert Part 7: Registration Exemption for Private Fund Advisers</w:t>
        </w:r>
      </w:hyperlink>
    </w:p>
    <w:p w:rsidR="00EA6FEE" w:rsidRPr="00EA6FEE" w:rsidRDefault="00EA6FEE" w:rsidP="00EA6FEE">
      <w:pPr>
        <w:numPr>
          <w:ilvl w:val="0"/>
          <w:numId w:val="2"/>
        </w:numPr>
        <w:spacing w:after="75"/>
        <w:ind w:left="390"/>
        <w:contextualSpacing w:val="0"/>
        <w:rPr>
          <w:rFonts w:eastAsia="Times New Roman" w:cs="Arial"/>
        </w:rPr>
      </w:pPr>
      <w:hyperlink r:id="rId12" w:anchor="news_article_top" w:history="1">
        <w:r w:rsidRPr="00EA6FEE">
          <w:rPr>
            <w:rFonts w:eastAsia="Times New Roman" w:cs="Arial"/>
          </w:rPr>
          <w:t>Advisers Act Alert Part 8: Calculating Assets Under Management and Its Implications</w:t>
        </w:r>
      </w:hyperlink>
    </w:p>
    <w:p w:rsidR="00EA6FEE" w:rsidRPr="00EA6FEE" w:rsidRDefault="00EA6FEE" w:rsidP="00EA6FEE">
      <w:pPr>
        <w:numPr>
          <w:ilvl w:val="0"/>
          <w:numId w:val="2"/>
        </w:numPr>
        <w:spacing w:after="75"/>
        <w:ind w:left="390"/>
        <w:contextualSpacing w:val="0"/>
        <w:rPr>
          <w:rFonts w:eastAsia="Times New Roman" w:cs="Arial"/>
        </w:rPr>
      </w:pPr>
      <w:hyperlink r:id="rId13" w:anchor="news_article_top" w:history="1">
        <w:r w:rsidRPr="00EA6FEE">
          <w:rPr>
            <w:rFonts w:eastAsia="Times New Roman" w:cs="Arial"/>
          </w:rPr>
          <w:t xml:space="preserve">Advisers Act Alert Part 9: State </w:t>
        </w:r>
        <w:proofErr w:type="spellStart"/>
        <w:r w:rsidRPr="00EA6FEE">
          <w:rPr>
            <w:rFonts w:eastAsia="Times New Roman" w:cs="Arial"/>
          </w:rPr>
          <w:t>vs</w:t>
        </w:r>
        <w:proofErr w:type="spellEnd"/>
        <w:r w:rsidRPr="00EA6FEE">
          <w:rPr>
            <w:rFonts w:eastAsia="Times New Roman" w:cs="Arial"/>
          </w:rPr>
          <w:t xml:space="preserve"> Federal Registration</w:t>
        </w:r>
      </w:hyperlink>
    </w:p>
    <w:p w:rsidR="00EA6FEE" w:rsidRPr="00EA6FEE" w:rsidRDefault="00EA6FEE" w:rsidP="00EA6FEE">
      <w:pPr>
        <w:numPr>
          <w:ilvl w:val="0"/>
          <w:numId w:val="2"/>
        </w:numPr>
        <w:spacing w:after="75"/>
        <w:ind w:left="390"/>
        <w:contextualSpacing w:val="0"/>
        <w:rPr>
          <w:rFonts w:eastAsia="Times New Roman" w:cs="Arial"/>
        </w:rPr>
      </w:pPr>
      <w:hyperlink r:id="rId14" w:anchor="news_article_top" w:history="1">
        <w:r w:rsidRPr="00EA6FEE">
          <w:rPr>
            <w:rFonts w:eastAsia="Times New Roman" w:cs="Arial"/>
          </w:rPr>
          <w:t>Advisers Act Alert Part 10: Other Matters</w:t>
        </w:r>
      </w:hyperlink>
    </w:p>
    <w:p w:rsidR="00EA6FEE" w:rsidRPr="00EA6FEE" w:rsidRDefault="00EA6FEE" w:rsidP="00EA6FEE">
      <w:pPr>
        <w:numPr>
          <w:ilvl w:val="0"/>
          <w:numId w:val="2"/>
        </w:numPr>
        <w:spacing w:after="75"/>
        <w:ind w:left="390"/>
        <w:contextualSpacing w:val="0"/>
        <w:rPr>
          <w:rFonts w:eastAsia="Times New Roman" w:cs="Arial"/>
        </w:rPr>
      </w:pPr>
      <w:hyperlink r:id="rId15" w:anchor="news_article_top" w:history="1">
        <w:r w:rsidRPr="00EA6FEE">
          <w:rPr>
            <w:rFonts w:eastAsia="Times New Roman" w:cs="Arial"/>
          </w:rPr>
          <w:t>Advisers Act Alert Part 11: Resources and Appendices</w:t>
        </w:r>
      </w:hyperlink>
    </w:p>
    <w:p w:rsidR="00EA6FEE" w:rsidRDefault="00EA6FEE" w:rsidP="00EA6FEE">
      <w:pPr>
        <w:spacing w:before="100" w:beforeAutospacing="1" w:after="100" w:afterAutospacing="1"/>
        <w:contextualSpacing w:val="0"/>
        <w:rPr>
          <w:rFonts w:eastAsia="Times New Roman" w:cs="Arial"/>
        </w:rPr>
      </w:pPr>
    </w:p>
    <w:p w:rsidR="00EA6FEE" w:rsidRPr="00EA6FEE" w:rsidRDefault="00EA6FEE" w:rsidP="00EA6FEE">
      <w:pPr>
        <w:spacing w:line="360" w:lineRule="atLeast"/>
        <w:contextualSpacing w:val="0"/>
        <w:rPr>
          <w:rFonts w:eastAsia="Times New Roman" w:cs="Arial"/>
          <w:color w:val="444444"/>
          <w:sz w:val="30"/>
          <w:szCs w:val="30"/>
        </w:rPr>
      </w:pPr>
      <w:r w:rsidRPr="00EA6FEE">
        <w:rPr>
          <w:rFonts w:eastAsia="Times New Roman" w:cs="Arial"/>
          <w:color w:val="444444"/>
          <w:sz w:val="30"/>
          <w:szCs w:val="30"/>
        </w:rPr>
        <w:t>Advisers Act Alert Part 7: Registration Exemption for Private Fund Advisers</w:t>
      </w:r>
    </w:p>
    <w:p w:rsidR="00EA6FEE" w:rsidRPr="00EA6FEE" w:rsidRDefault="00EA6FEE" w:rsidP="00EA6FEE">
      <w:pPr>
        <w:spacing w:before="100" w:beforeAutospacing="1" w:after="100" w:afterAutospacing="1"/>
        <w:contextualSpacing w:val="0"/>
        <w:rPr>
          <w:rFonts w:eastAsia="Times New Roman" w:cs="Arial"/>
          <w:color w:val="444444"/>
          <w:sz w:val="18"/>
          <w:szCs w:val="18"/>
        </w:rPr>
      </w:pPr>
      <w:r w:rsidRPr="00EA6FEE">
        <w:rPr>
          <w:rFonts w:eastAsia="Times New Roman" w:cs="Arial"/>
          <w:b/>
          <w:bCs/>
          <w:i/>
          <w:iCs/>
          <w:color w:val="444444"/>
          <w:sz w:val="18"/>
          <w:szCs w:val="18"/>
        </w:rPr>
        <w:t>U.S.</w:t>
      </w:r>
      <w:r w:rsidRPr="00EA6FEE">
        <w:rPr>
          <w:rFonts w:eastAsia="Times New Roman" w:cs="Arial"/>
          <w:b/>
          <w:bCs/>
          <w:color w:val="444444"/>
          <w:sz w:val="18"/>
          <w:szCs w:val="18"/>
        </w:rPr>
        <w:t xml:space="preserve"> </w:t>
      </w:r>
      <w:proofErr w:type="spellStart"/>
      <w:r w:rsidRPr="00EA6FEE">
        <w:rPr>
          <w:rFonts w:eastAsia="Times New Roman" w:cs="Arial"/>
          <w:b/>
          <w:bCs/>
          <w:i/>
          <w:iCs/>
          <w:color w:val="444444"/>
          <w:sz w:val="18"/>
          <w:szCs w:val="18"/>
        </w:rPr>
        <w:t>Advisers</w:t>
      </w:r>
      <w:r w:rsidRPr="00EA6FEE">
        <w:rPr>
          <w:rFonts w:eastAsia="Times New Roman" w:cs="Arial"/>
          <w:b/>
          <w:bCs/>
          <w:color w:val="444444"/>
          <w:sz w:val="18"/>
          <w:szCs w:val="18"/>
        </w:rPr>
        <w:t>.</w:t>
      </w:r>
      <w:r w:rsidRPr="00EA6FEE">
        <w:rPr>
          <w:rFonts w:eastAsia="Times New Roman" w:cs="Arial"/>
          <w:color w:val="444444"/>
          <w:sz w:val="18"/>
          <w:szCs w:val="18"/>
        </w:rPr>
        <w:t>Under</w:t>
      </w:r>
      <w:proofErr w:type="spellEnd"/>
      <w:r w:rsidRPr="00EA6FEE">
        <w:rPr>
          <w:rFonts w:eastAsia="Times New Roman" w:cs="Arial"/>
          <w:color w:val="444444"/>
          <w:sz w:val="18"/>
          <w:szCs w:val="18"/>
        </w:rPr>
        <w:t xml:space="preserve"> the new rules, an adviser with its </w:t>
      </w:r>
      <w:r w:rsidRPr="00EA6FEE">
        <w:rPr>
          <w:rFonts w:eastAsia="Times New Roman" w:cs="Arial"/>
          <w:i/>
          <w:iCs/>
          <w:color w:val="444444"/>
          <w:sz w:val="18"/>
          <w:szCs w:val="18"/>
        </w:rPr>
        <w:t>principal office and place of business</w:t>
      </w:r>
      <w:r w:rsidRPr="00EA6FEE">
        <w:rPr>
          <w:rFonts w:eastAsia="Times New Roman" w:cs="Arial"/>
          <w:color w:val="444444"/>
          <w:sz w:val="18"/>
          <w:szCs w:val="18"/>
        </w:rPr>
        <w:t xml:space="preserve"> in the U.S. is exempt from Advisers Act registration under the Private Fund Adviser Exemption if it: (1) acts solely as an adviser to one or more “</w:t>
      </w:r>
      <w:r w:rsidRPr="00EA6FEE">
        <w:rPr>
          <w:rFonts w:eastAsia="Times New Roman" w:cs="Arial"/>
          <w:b/>
          <w:bCs/>
          <w:color w:val="444444"/>
          <w:sz w:val="18"/>
          <w:szCs w:val="18"/>
        </w:rPr>
        <w:t>Qualifying Private Funds</w:t>
      </w:r>
      <w:r w:rsidRPr="00EA6FEE">
        <w:rPr>
          <w:rFonts w:eastAsia="Times New Roman" w:cs="Arial"/>
          <w:color w:val="444444"/>
          <w:sz w:val="18"/>
          <w:szCs w:val="18"/>
        </w:rPr>
        <w:t>”</w:t>
      </w:r>
      <w:r w:rsidRPr="00EA6FEE">
        <w:rPr>
          <w:rFonts w:eastAsia="Times New Roman" w:cs="Arial"/>
          <w:color w:val="444444"/>
          <w:sz w:val="14"/>
          <w:szCs w:val="14"/>
          <w:vertAlign w:val="superscript"/>
        </w:rPr>
        <w:t>11</w:t>
      </w:r>
      <w:r w:rsidRPr="00EA6FEE">
        <w:rPr>
          <w:rFonts w:eastAsia="Times New Roman" w:cs="Arial"/>
          <w:color w:val="444444"/>
          <w:sz w:val="18"/>
          <w:szCs w:val="18"/>
        </w:rPr>
        <w:t xml:space="preserve">; and (2) manages </w:t>
      </w:r>
      <w:r w:rsidRPr="00EA6FEE">
        <w:rPr>
          <w:rFonts w:eastAsia="Times New Roman" w:cs="Arial"/>
          <w:i/>
          <w:iCs/>
          <w:color w:val="444444"/>
          <w:sz w:val="18"/>
          <w:szCs w:val="18"/>
        </w:rPr>
        <w:t>private fund</w:t>
      </w:r>
      <w:r w:rsidRPr="00EA6FEE">
        <w:rPr>
          <w:rFonts w:eastAsia="Times New Roman" w:cs="Arial"/>
          <w:color w:val="444444"/>
          <w:sz w:val="18"/>
          <w:szCs w:val="18"/>
        </w:rPr>
        <w:t xml:space="preserve"> assets of less than $150 million. For these purposes, a “principal office and place of business” means “the executive office of the investment adviser from which the officers, partners or managers of the investment adviser direct, control and coordinate the activities of the investment adviser.”</w:t>
      </w:r>
    </w:p>
    <w:p w:rsidR="00EA6FEE" w:rsidRPr="00EA6FEE" w:rsidRDefault="00EA6FEE" w:rsidP="00EA6FEE">
      <w:pPr>
        <w:spacing w:before="100" w:beforeAutospacing="1" w:after="100" w:afterAutospacing="1"/>
        <w:contextualSpacing w:val="0"/>
        <w:rPr>
          <w:rFonts w:eastAsia="Times New Roman" w:cs="Arial"/>
          <w:color w:val="444444"/>
          <w:sz w:val="18"/>
          <w:szCs w:val="18"/>
        </w:rPr>
      </w:pPr>
      <w:r w:rsidRPr="00EA6FEE">
        <w:rPr>
          <w:rFonts w:eastAsia="Times New Roman" w:cs="Arial"/>
          <w:b/>
          <w:bCs/>
          <w:i/>
          <w:iCs/>
          <w:color w:val="444444"/>
          <w:sz w:val="18"/>
          <w:szCs w:val="18"/>
        </w:rPr>
        <w:t xml:space="preserve">Non-U.S. </w:t>
      </w:r>
      <w:proofErr w:type="spellStart"/>
      <w:r w:rsidRPr="00EA6FEE">
        <w:rPr>
          <w:rFonts w:eastAsia="Times New Roman" w:cs="Arial"/>
          <w:b/>
          <w:bCs/>
          <w:i/>
          <w:iCs/>
          <w:color w:val="444444"/>
          <w:sz w:val="18"/>
          <w:szCs w:val="18"/>
        </w:rPr>
        <w:t>Advisers</w:t>
      </w:r>
      <w:r w:rsidRPr="00EA6FEE">
        <w:rPr>
          <w:rFonts w:eastAsia="Times New Roman" w:cs="Arial"/>
          <w:b/>
          <w:bCs/>
          <w:color w:val="444444"/>
          <w:sz w:val="18"/>
          <w:szCs w:val="18"/>
        </w:rPr>
        <w:t>.</w:t>
      </w:r>
      <w:r w:rsidRPr="00EA6FEE">
        <w:rPr>
          <w:rFonts w:eastAsia="Times New Roman" w:cs="Arial"/>
          <w:color w:val="444444"/>
          <w:sz w:val="18"/>
          <w:szCs w:val="18"/>
        </w:rPr>
        <w:t>An</w:t>
      </w:r>
      <w:proofErr w:type="spellEnd"/>
      <w:r w:rsidRPr="00EA6FEE">
        <w:rPr>
          <w:rFonts w:eastAsia="Times New Roman" w:cs="Arial"/>
          <w:color w:val="444444"/>
          <w:sz w:val="18"/>
          <w:szCs w:val="18"/>
        </w:rPr>
        <w:t xml:space="preserve"> adviser with its principal office and place of business outside the U.S. (a “</w:t>
      </w:r>
      <w:r w:rsidRPr="00EA6FEE">
        <w:rPr>
          <w:rFonts w:eastAsia="Times New Roman" w:cs="Arial"/>
          <w:b/>
          <w:bCs/>
          <w:color w:val="444444"/>
          <w:sz w:val="18"/>
          <w:szCs w:val="18"/>
        </w:rPr>
        <w:t>non-U.S. adviser</w:t>
      </w:r>
      <w:r w:rsidRPr="00EA6FEE">
        <w:rPr>
          <w:rFonts w:eastAsia="Times New Roman" w:cs="Arial"/>
          <w:color w:val="444444"/>
          <w:sz w:val="18"/>
          <w:szCs w:val="18"/>
        </w:rPr>
        <w:t>”) is exempt from Advisers Act registration under the Private Fund Adviser Exemption if: (1) all of its</w:t>
      </w:r>
      <w:r w:rsidRPr="00EA6FEE">
        <w:rPr>
          <w:rFonts w:eastAsia="Times New Roman" w:cs="Arial"/>
          <w:i/>
          <w:iCs/>
          <w:color w:val="444444"/>
          <w:sz w:val="18"/>
          <w:szCs w:val="18"/>
        </w:rPr>
        <w:t xml:space="preserve"> clients </w:t>
      </w:r>
      <w:r w:rsidRPr="00EA6FEE">
        <w:rPr>
          <w:rFonts w:eastAsia="Times New Roman" w:cs="Arial"/>
          <w:color w:val="444444"/>
          <w:sz w:val="18"/>
          <w:szCs w:val="18"/>
        </w:rPr>
        <w:t xml:space="preserve">that are </w:t>
      </w:r>
      <w:r w:rsidRPr="00EA6FEE">
        <w:rPr>
          <w:rFonts w:eastAsia="Times New Roman" w:cs="Arial"/>
          <w:i/>
          <w:iCs/>
          <w:color w:val="444444"/>
          <w:sz w:val="18"/>
          <w:szCs w:val="18"/>
        </w:rPr>
        <w:t>U.S. persons</w:t>
      </w:r>
      <w:r w:rsidRPr="00EA6FEE">
        <w:rPr>
          <w:rFonts w:eastAsia="Times New Roman" w:cs="Arial"/>
          <w:color w:val="444444"/>
          <w:sz w:val="18"/>
          <w:szCs w:val="18"/>
        </w:rPr>
        <w:t xml:space="preserve"> are Qualifying Private Funds; and (2) all assets it manages at any </w:t>
      </w:r>
      <w:r w:rsidRPr="00EA6FEE">
        <w:rPr>
          <w:rFonts w:eastAsia="Times New Roman" w:cs="Arial"/>
          <w:i/>
          <w:iCs/>
          <w:color w:val="444444"/>
          <w:sz w:val="18"/>
          <w:szCs w:val="18"/>
        </w:rPr>
        <w:t xml:space="preserve">place of business in the U.S. </w:t>
      </w:r>
      <w:r w:rsidRPr="00EA6FEE">
        <w:rPr>
          <w:rFonts w:eastAsia="Times New Roman" w:cs="Arial"/>
          <w:color w:val="444444"/>
          <w:sz w:val="18"/>
          <w:szCs w:val="18"/>
        </w:rPr>
        <w:t>are solely attributable to Qualifying Private Funds and have a total value of less than $150 million. For these purposes, a U.S. person is any person that is a “U.S. Person” as defined in Regulation S promulgated under the Securities Act of 1933 (“</w:t>
      </w:r>
      <w:r w:rsidRPr="00EA6FEE">
        <w:rPr>
          <w:rFonts w:eastAsia="Times New Roman" w:cs="Arial"/>
          <w:b/>
          <w:bCs/>
          <w:color w:val="444444"/>
          <w:sz w:val="18"/>
          <w:szCs w:val="18"/>
        </w:rPr>
        <w:t>Regulation S</w:t>
      </w:r>
      <w:r w:rsidRPr="00EA6FEE">
        <w:rPr>
          <w:rFonts w:eastAsia="Times New Roman" w:cs="Arial"/>
          <w:color w:val="444444"/>
          <w:sz w:val="18"/>
          <w:szCs w:val="18"/>
        </w:rPr>
        <w:t xml:space="preserve">”), except with respect to certain discretionary or similar accounts that are held for the benefit of U.S. persons by certain non-U.S. dealers or other non-U.S. professional fiduciaries. A “place of business” has the same </w:t>
      </w:r>
      <w:hyperlink r:id="rId16" w:anchor="3" w:tgtFrame="_self" w:history="1">
        <w:r w:rsidRPr="00EA6FEE">
          <w:rPr>
            <w:rFonts w:eastAsia="Times New Roman" w:cs="Arial"/>
            <w:color w:val="7FADBC"/>
            <w:sz w:val="18"/>
            <w:szCs w:val="18"/>
          </w:rPr>
          <w:t>definition</w:t>
        </w:r>
      </w:hyperlink>
      <w:r w:rsidRPr="00EA6FEE">
        <w:rPr>
          <w:rFonts w:eastAsia="Times New Roman" w:cs="Arial"/>
          <w:color w:val="444444"/>
          <w:sz w:val="18"/>
          <w:szCs w:val="18"/>
        </w:rPr>
        <w:t xml:space="preserve"> as for a Foreign Private Adviser. </w:t>
      </w:r>
    </w:p>
    <w:p w:rsidR="00EA6FEE" w:rsidRPr="00EA6FEE" w:rsidRDefault="00EA6FEE" w:rsidP="00EA6FEE">
      <w:pPr>
        <w:spacing w:before="100" w:beforeAutospacing="1" w:after="100" w:afterAutospacing="1"/>
        <w:contextualSpacing w:val="0"/>
        <w:rPr>
          <w:rFonts w:eastAsia="Times New Roman" w:cs="Arial"/>
          <w:color w:val="444444"/>
          <w:sz w:val="18"/>
          <w:szCs w:val="18"/>
        </w:rPr>
      </w:pPr>
      <w:r w:rsidRPr="00EA6FEE">
        <w:rPr>
          <w:rFonts w:eastAsia="Times New Roman" w:cs="Arial"/>
          <w:b/>
          <w:bCs/>
          <w:i/>
          <w:iCs/>
          <w:color w:val="444444"/>
          <w:sz w:val="18"/>
          <w:szCs w:val="18"/>
        </w:rPr>
        <w:t>ERA Status</w:t>
      </w:r>
      <w:r w:rsidRPr="00EA6FEE">
        <w:rPr>
          <w:rFonts w:eastAsia="Times New Roman" w:cs="Arial"/>
          <w:b/>
          <w:bCs/>
          <w:color w:val="444444"/>
          <w:sz w:val="18"/>
          <w:szCs w:val="18"/>
        </w:rPr>
        <w:t>.</w:t>
      </w:r>
      <w:r w:rsidRPr="00EA6FEE">
        <w:rPr>
          <w:rFonts w:eastAsia="Times New Roman" w:cs="Arial"/>
          <w:color w:val="444444"/>
          <w:sz w:val="18"/>
          <w:szCs w:val="18"/>
        </w:rPr>
        <w:t xml:space="preserve"> An adviser that relies upon the Private Fund Adviser Exemption is an ERA and, as such, is subject to the reporting and compliance requirements discussed above under “</w:t>
      </w:r>
      <w:r w:rsidRPr="00EA6FEE">
        <w:rPr>
          <w:rFonts w:eastAsia="Times New Roman" w:cs="Arial"/>
          <w:i/>
          <w:iCs/>
          <w:color w:val="444444"/>
          <w:sz w:val="18"/>
          <w:szCs w:val="18"/>
        </w:rPr>
        <w:t>‘</w:t>
      </w:r>
      <w:hyperlink r:id="rId17" w:tgtFrame="_blank" w:history="1">
        <w:r w:rsidRPr="00EA6FEE">
          <w:rPr>
            <w:rFonts w:eastAsia="Times New Roman" w:cs="Arial"/>
            <w:i/>
            <w:iCs/>
            <w:color w:val="7FADBC"/>
            <w:sz w:val="18"/>
            <w:szCs w:val="18"/>
          </w:rPr>
          <w:t>Exempt Reporting Advisers’ or ‘ERAs’</w:t>
        </w:r>
      </w:hyperlink>
      <w:r w:rsidRPr="00EA6FEE">
        <w:rPr>
          <w:rFonts w:eastAsia="Times New Roman" w:cs="Arial"/>
          <w:color w:val="444444"/>
          <w:sz w:val="18"/>
          <w:szCs w:val="18"/>
        </w:rPr>
        <w:t xml:space="preserve">.” </w:t>
      </w:r>
    </w:p>
    <w:p w:rsidR="00EA6FEE" w:rsidRPr="00EA6FEE" w:rsidRDefault="00EA6FEE" w:rsidP="00EA6FEE">
      <w:pPr>
        <w:spacing w:before="100" w:beforeAutospacing="1" w:after="100" w:afterAutospacing="1"/>
        <w:contextualSpacing w:val="0"/>
        <w:rPr>
          <w:rFonts w:eastAsia="Times New Roman" w:cs="Arial"/>
          <w:color w:val="444444"/>
          <w:sz w:val="18"/>
          <w:szCs w:val="18"/>
        </w:rPr>
      </w:pPr>
      <w:proofErr w:type="gramStart"/>
      <w:r w:rsidRPr="00EA6FEE">
        <w:rPr>
          <w:rFonts w:eastAsia="Times New Roman" w:cs="Arial"/>
          <w:b/>
          <w:bCs/>
          <w:i/>
          <w:iCs/>
          <w:color w:val="444444"/>
          <w:sz w:val="18"/>
          <w:szCs w:val="18"/>
        </w:rPr>
        <w:t>Interpretive Guidance</w:t>
      </w:r>
      <w:r w:rsidRPr="00EA6FEE">
        <w:rPr>
          <w:rFonts w:eastAsia="Times New Roman" w:cs="Arial"/>
          <w:b/>
          <w:bCs/>
          <w:color w:val="444444"/>
          <w:sz w:val="18"/>
          <w:szCs w:val="18"/>
        </w:rPr>
        <w:t>.</w:t>
      </w:r>
      <w:proofErr w:type="gramEnd"/>
      <w:r w:rsidRPr="00EA6FEE">
        <w:rPr>
          <w:rFonts w:eastAsia="Times New Roman" w:cs="Arial"/>
          <w:color w:val="444444"/>
          <w:sz w:val="18"/>
          <w:szCs w:val="18"/>
        </w:rPr>
        <w:t xml:space="preserve"> The new rules and the Releases provide guidance on the following concepts contained in the Private Fund Adviser Exemption:</w:t>
      </w:r>
    </w:p>
    <w:p w:rsidR="00EA6FEE" w:rsidRPr="00EA6FEE" w:rsidRDefault="00EA6FEE" w:rsidP="00EA6FEE">
      <w:pPr>
        <w:numPr>
          <w:ilvl w:val="0"/>
          <w:numId w:val="3"/>
        </w:numPr>
        <w:spacing w:before="100" w:beforeAutospacing="1" w:after="150"/>
        <w:ind w:left="0"/>
        <w:contextualSpacing w:val="0"/>
        <w:jc w:val="both"/>
        <w:rPr>
          <w:rFonts w:eastAsia="Times New Roman" w:cs="Arial"/>
          <w:color w:val="444444"/>
          <w:sz w:val="20"/>
          <w:szCs w:val="20"/>
        </w:rPr>
      </w:pPr>
      <w:r w:rsidRPr="00EA6FEE">
        <w:rPr>
          <w:rFonts w:eastAsia="Times New Roman" w:cs="Arial"/>
          <w:b/>
          <w:bCs/>
          <w:i/>
          <w:iCs/>
          <w:color w:val="444444"/>
          <w:sz w:val="20"/>
          <w:szCs w:val="20"/>
        </w:rPr>
        <w:t>Assets Managed in the U.S.</w:t>
      </w:r>
      <w:r w:rsidRPr="00EA6FEE">
        <w:rPr>
          <w:rFonts w:eastAsia="Times New Roman" w:cs="Arial"/>
          <w:b/>
          <w:bCs/>
          <w:color w:val="444444"/>
          <w:sz w:val="20"/>
          <w:szCs w:val="20"/>
        </w:rPr>
        <w:t xml:space="preserve"> </w:t>
      </w:r>
      <w:r w:rsidRPr="00EA6FEE">
        <w:rPr>
          <w:rFonts w:eastAsia="Times New Roman" w:cs="Arial"/>
          <w:color w:val="444444"/>
          <w:sz w:val="20"/>
          <w:szCs w:val="20"/>
        </w:rPr>
        <w:t>If an adviser has its principal office and place of business in the U.S., it is deemed to manage</w:t>
      </w:r>
      <w:r w:rsidRPr="00EA6FEE">
        <w:rPr>
          <w:rFonts w:eastAsia="Times New Roman" w:cs="Arial"/>
          <w:color w:val="444444"/>
          <w:sz w:val="15"/>
          <w:szCs w:val="15"/>
          <w:vertAlign w:val="superscript"/>
        </w:rPr>
        <w:t>12</w:t>
      </w:r>
      <w:r w:rsidRPr="00EA6FEE">
        <w:rPr>
          <w:rFonts w:eastAsia="Times New Roman" w:cs="Arial"/>
          <w:color w:val="444444"/>
          <w:sz w:val="20"/>
          <w:szCs w:val="20"/>
        </w:rPr>
        <w:t xml:space="preserve"> within the U.S. all of its private fund assets, even if the adviser has offices outside of the U.S. Accordingly, for purposes of qualifying for the Private Fund Adviser Exemption, an adviser with its principal office and place of business in the U.S. is required to include all assets under management regardless of where they are managed (even if managed from outside of the U.S.). By contrast, an adviser with a principal office and place of business outside the U.S. is only required to consider assets that are managed at a place of business in the U.S. for purposes of the Private Fund Adviser Exemption and would not lose this exemption by virtue of: (1) managing from outside of the U.S. Qualifying Private Funds with an unlimited amount of investment from U.S. investors; (2) advising clients that are not U.S. persons and are not Qualifying Private Funds; or (3) relying on services that are not considered “management” and are provided by its own employees from within the U.S. </w:t>
      </w:r>
      <w:r w:rsidRPr="00EA6FEE">
        <w:rPr>
          <w:rFonts w:eastAsia="Times New Roman" w:cs="Arial"/>
          <w:color w:val="444444"/>
          <w:sz w:val="20"/>
          <w:szCs w:val="20"/>
        </w:rPr>
        <w:br/>
      </w:r>
      <w:r w:rsidRPr="00EA6FEE">
        <w:rPr>
          <w:rFonts w:eastAsia="Times New Roman" w:cs="Arial"/>
          <w:color w:val="444444"/>
          <w:sz w:val="20"/>
          <w:szCs w:val="20"/>
        </w:rPr>
        <w:br/>
        <w:t xml:space="preserve">Whether an adviser is managing assets at a place of business in the U.S. is a facts and circumstances analysis. For example, while the SEC has indicated that providing research or conducting due diligence at a U.S. place of business may constitute “managing” assets at a place of business in the U.S. under certain </w:t>
      </w:r>
      <w:proofErr w:type="gramStart"/>
      <w:r w:rsidRPr="00EA6FEE">
        <w:rPr>
          <w:rFonts w:eastAsia="Times New Roman" w:cs="Arial"/>
          <w:color w:val="444444"/>
          <w:sz w:val="20"/>
          <w:szCs w:val="20"/>
        </w:rPr>
        <w:t>circumstances,</w:t>
      </w:r>
      <w:proofErr w:type="gramEnd"/>
      <w:r w:rsidRPr="00EA6FEE">
        <w:rPr>
          <w:rFonts w:eastAsia="Times New Roman" w:cs="Arial"/>
          <w:color w:val="444444"/>
          <w:sz w:val="20"/>
          <w:szCs w:val="20"/>
        </w:rPr>
        <w:t xml:space="preserve"> it would not if a person outside of the U.S. makes independent investment decisions and implements those decisions. </w:t>
      </w:r>
    </w:p>
    <w:p w:rsidR="00EA6FEE" w:rsidRPr="00EA6FEE" w:rsidRDefault="00EA6FEE" w:rsidP="00EA6FEE">
      <w:pPr>
        <w:numPr>
          <w:ilvl w:val="0"/>
          <w:numId w:val="3"/>
        </w:numPr>
        <w:spacing w:before="100" w:beforeAutospacing="1" w:after="150"/>
        <w:ind w:left="0"/>
        <w:contextualSpacing w:val="0"/>
        <w:rPr>
          <w:rFonts w:eastAsia="Times New Roman" w:cs="Arial"/>
          <w:color w:val="444444"/>
          <w:sz w:val="20"/>
          <w:szCs w:val="20"/>
        </w:rPr>
      </w:pPr>
      <w:r w:rsidRPr="00EA6FEE">
        <w:rPr>
          <w:rFonts w:eastAsia="Times New Roman" w:cs="Arial"/>
          <w:b/>
          <w:bCs/>
          <w:i/>
          <w:iCs/>
          <w:color w:val="444444"/>
          <w:sz w:val="20"/>
          <w:szCs w:val="20"/>
        </w:rPr>
        <w:t>“Qualifying Private Fund” Status; Special Rule.</w:t>
      </w:r>
      <w:r w:rsidRPr="00EA6FEE">
        <w:rPr>
          <w:rFonts w:eastAsia="Times New Roman" w:cs="Arial"/>
          <w:b/>
          <w:bCs/>
          <w:color w:val="444444"/>
          <w:sz w:val="20"/>
          <w:szCs w:val="20"/>
        </w:rPr>
        <w:t xml:space="preserve"> </w:t>
      </w:r>
      <w:r w:rsidRPr="00EA6FEE">
        <w:rPr>
          <w:rFonts w:eastAsia="Times New Roman" w:cs="Arial"/>
          <w:color w:val="444444"/>
          <w:sz w:val="20"/>
          <w:szCs w:val="20"/>
        </w:rPr>
        <w:t xml:space="preserve">As noted above, a Qualifying Private Fund includes an issuer that would be an “investment company” under the 1940 Act </w:t>
      </w:r>
      <w:r w:rsidRPr="00EA6FEE">
        <w:rPr>
          <w:rFonts w:eastAsia="Times New Roman" w:cs="Arial"/>
          <w:i/>
          <w:iCs/>
          <w:color w:val="444444"/>
          <w:sz w:val="20"/>
          <w:szCs w:val="20"/>
        </w:rPr>
        <w:t>but for</w:t>
      </w:r>
      <w:r w:rsidRPr="00EA6FEE">
        <w:rPr>
          <w:rFonts w:eastAsia="Times New Roman" w:cs="Arial"/>
          <w:color w:val="444444"/>
          <w:sz w:val="20"/>
          <w:szCs w:val="20"/>
        </w:rPr>
        <w:t xml:space="preserve"> the exclusions from that definition provided in Sections 3(c)(1) or 3(c)(7) of that Act. However, under a special rule, an adviser to a fund qualifying for </w:t>
      </w:r>
      <w:r w:rsidRPr="00EA6FEE">
        <w:rPr>
          <w:rFonts w:eastAsia="Times New Roman" w:cs="Arial"/>
          <w:i/>
          <w:iCs/>
          <w:color w:val="444444"/>
          <w:sz w:val="20"/>
          <w:szCs w:val="20"/>
        </w:rPr>
        <w:t>another</w:t>
      </w:r>
      <w:r w:rsidRPr="00EA6FEE">
        <w:rPr>
          <w:rFonts w:eastAsia="Times New Roman" w:cs="Arial"/>
          <w:color w:val="444444"/>
          <w:sz w:val="20"/>
          <w:szCs w:val="20"/>
        </w:rPr>
        <w:t xml:space="preserve"> definitional exclusion, such as a real estate fund that qualifies for Section 3(c)(5)(C), may elect to treat such fund as a “private fund” for purposes of the Private Fund Adviser Exemption, so long as the adviser treats such fund as a “private fund” for all other Advisers Act purposes.</w:t>
      </w:r>
      <w:r w:rsidRPr="00EA6FEE">
        <w:rPr>
          <w:rFonts w:eastAsia="Times New Roman" w:cs="Arial"/>
          <w:color w:val="444444"/>
          <w:sz w:val="15"/>
          <w:szCs w:val="15"/>
          <w:vertAlign w:val="superscript"/>
        </w:rPr>
        <w:t>13</w:t>
      </w:r>
      <w:r w:rsidRPr="00EA6FEE">
        <w:rPr>
          <w:rFonts w:eastAsia="Times New Roman" w:cs="Arial"/>
          <w:color w:val="444444"/>
          <w:sz w:val="20"/>
          <w:szCs w:val="20"/>
        </w:rPr>
        <w:t xml:space="preserve"> Accordingly, an adviser to funds that can qualify for other definitional exclusions beyond 3(c)(1)/(7) is not precluded from relying on the Private Fund Adviser Exemption by virtue of this fact. In addition, similar to the flexibility provided under the Venture Capital Exemption (see </w:t>
      </w:r>
      <w:hyperlink r:id="rId18" w:tgtFrame="_blank" w:history="1">
        <w:r w:rsidRPr="00EA6FEE">
          <w:rPr>
            <w:rFonts w:eastAsia="Times New Roman" w:cs="Arial"/>
            <w:color w:val="7FADBC"/>
            <w:sz w:val="20"/>
            <w:szCs w:val="20"/>
          </w:rPr>
          <w:t>above</w:t>
        </w:r>
      </w:hyperlink>
      <w:r w:rsidRPr="00EA6FEE">
        <w:rPr>
          <w:rFonts w:eastAsia="Times New Roman" w:cs="Arial"/>
          <w:color w:val="444444"/>
          <w:sz w:val="20"/>
          <w:szCs w:val="20"/>
        </w:rPr>
        <w:t xml:space="preserve">), an adviser </w:t>
      </w:r>
      <w:r w:rsidRPr="00EA6FEE">
        <w:rPr>
          <w:rFonts w:eastAsia="Times New Roman" w:cs="Arial"/>
          <w:color w:val="444444"/>
          <w:sz w:val="20"/>
          <w:szCs w:val="20"/>
        </w:rPr>
        <w:lastRenderedPageBreak/>
        <w:t xml:space="preserve">could elect to treat a non-U.S. fund that has not made an offering to U.S. persons as a “private fund” for purposes of the Private Fund Adviser Exemption. </w:t>
      </w:r>
    </w:p>
    <w:p w:rsidR="00EA6FEE" w:rsidRPr="00EA6FEE" w:rsidRDefault="00EA6FEE" w:rsidP="00EA6FEE">
      <w:pPr>
        <w:numPr>
          <w:ilvl w:val="0"/>
          <w:numId w:val="3"/>
        </w:numPr>
        <w:spacing w:before="100" w:beforeAutospacing="1" w:after="150"/>
        <w:ind w:left="0"/>
        <w:contextualSpacing w:val="0"/>
        <w:rPr>
          <w:rFonts w:eastAsia="Times New Roman" w:cs="Arial"/>
          <w:color w:val="444444"/>
          <w:sz w:val="20"/>
          <w:szCs w:val="20"/>
        </w:rPr>
      </w:pPr>
      <w:r w:rsidRPr="00EA6FEE">
        <w:rPr>
          <w:rFonts w:eastAsia="Times New Roman" w:cs="Arial"/>
          <w:b/>
          <w:bCs/>
          <w:i/>
          <w:iCs/>
          <w:color w:val="444444"/>
          <w:sz w:val="20"/>
          <w:szCs w:val="20"/>
        </w:rPr>
        <w:t>Combining Exemptions.</w:t>
      </w:r>
      <w:r w:rsidRPr="00EA6FEE">
        <w:rPr>
          <w:rFonts w:eastAsia="Times New Roman" w:cs="Arial"/>
          <w:b/>
          <w:bCs/>
          <w:color w:val="444444"/>
          <w:sz w:val="20"/>
          <w:szCs w:val="20"/>
        </w:rPr>
        <w:t xml:space="preserve"> </w:t>
      </w:r>
      <w:r w:rsidRPr="00EA6FEE">
        <w:rPr>
          <w:rFonts w:eastAsia="Times New Roman" w:cs="Arial"/>
          <w:color w:val="444444"/>
          <w:sz w:val="20"/>
          <w:szCs w:val="20"/>
        </w:rPr>
        <w:t>Given the structure of the Venture Capital and Private Fund Adviser Exemptions, a single adviser generally may not combine the Private Fund Adviser Exemption with other exemptions. For example, a single adviser could not advise VC funds with assets under management in excess of $150 million and also seek to rely on the Private Fund Adviser Exemption for other funds with assets under management of less than $150 million.</w:t>
      </w:r>
    </w:p>
    <w:p w:rsidR="00EA6FEE" w:rsidRPr="00EA6FEE" w:rsidRDefault="00EA6FEE" w:rsidP="00EA6FEE">
      <w:pPr>
        <w:spacing w:before="100" w:beforeAutospacing="1" w:after="100" w:afterAutospacing="1"/>
        <w:contextualSpacing w:val="0"/>
        <w:rPr>
          <w:rFonts w:eastAsia="Times New Roman" w:cs="Arial"/>
          <w:color w:val="444444"/>
          <w:sz w:val="18"/>
          <w:szCs w:val="18"/>
        </w:rPr>
      </w:pPr>
      <w:proofErr w:type="gramStart"/>
      <w:r w:rsidRPr="00EA6FEE">
        <w:rPr>
          <w:rFonts w:eastAsia="Times New Roman" w:cs="Arial"/>
          <w:b/>
          <w:bCs/>
          <w:i/>
          <w:iCs/>
          <w:color w:val="444444"/>
          <w:sz w:val="18"/>
          <w:szCs w:val="18"/>
        </w:rPr>
        <w:t>Calculating the Value of Assets</w:t>
      </w:r>
      <w:r w:rsidRPr="00EA6FEE">
        <w:rPr>
          <w:rFonts w:eastAsia="Times New Roman" w:cs="Arial"/>
          <w:b/>
          <w:bCs/>
          <w:color w:val="444444"/>
          <w:sz w:val="18"/>
          <w:szCs w:val="18"/>
        </w:rPr>
        <w:t>.</w:t>
      </w:r>
      <w:proofErr w:type="gramEnd"/>
      <w:r w:rsidRPr="00EA6FEE">
        <w:rPr>
          <w:rFonts w:eastAsia="Times New Roman" w:cs="Arial"/>
          <w:color w:val="444444"/>
          <w:sz w:val="18"/>
          <w:szCs w:val="18"/>
        </w:rPr>
        <w:t xml:space="preserve"> Advisers must annually (rather than quarterly, as initially proposed) calculate the amount of private fund assets that they manage to determine whether they continue to be eligible for the Private Fund Adviser Exemption and must report the amount in their annual updating amendments to Form ADV. Changes in the amount of private fund assets between annual updating amendments will not affect the availability of the exemption. If an adviser reports on its annual updating amendment that its assets under management in the U.S. equal or exceed $150 million such that it is no longer eligible for the Private Fund Adviser Exemption, then it will have up to 90 days after filing such amendment to apply for registration (i.e., up to 180 days in total after the end of the adviser’s fiscal year). </w:t>
      </w:r>
    </w:p>
    <w:p w:rsidR="00EA6FEE" w:rsidRPr="00EA6FEE" w:rsidRDefault="00EA6FEE" w:rsidP="00EA6FEE">
      <w:pPr>
        <w:spacing w:before="100" w:beforeAutospacing="1" w:after="100" w:afterAutospacing="1"/>
        <w:contextualSpacing w:val="0"/>
        <w:rPr>
          <w:rFonts w:eastAsia="Times New Roman" w:cs="Arial"/>
          <w:color w:val="444444"/>
          <w:sz w:val="18"/>
          <w:szCs w:val="18"/>
        </w:rPr>
      </w:pPr>
      <w:r w:rsidRPr="00EA6FEE">
        <w:rPr>
          <w:rFonts w:eastAsia="Times New Roman" w:cs="Arial"/>
          <w:color w:val="444444"/>
          <w:sz w:val="18"/>
          <w:szCs w:val="18"/>
        </w:rPr>
        <w:t xml:space="preserve">The value of private fund assets under management is required to be calculated in accordance with the instructions in Form ADV. As discussed in more detail </w:t>
      </w:r>
      <w:hyperlink r:id="rId19" w:tgtFrame="_blank" w:history="1">
        <w:r w:rsidRPr="00EA6FEE">
          <w:rPr>
            <w:rFonts w:eastAsia="Times New Roman" w:cs="Arial"/>
            <w:color w:val="7FADBC"/>
            <w:sz w:val="18"/>
            <w:szCs w:val="18"/>
          </w:rPr>
          <w:t>below</w:t>
        </w:r>
      </w:hyperlink>
      <w:r w:rsidRPr="00EA6FEE">
        <w:rPr>
          <w:rFonts w:eastAsia="Times New Roman" w:cs="Arial"/>
          <w:color w:val="444444"/>
          <w:sz w:val="18"/>
          <w:szCs w:val="18"/>
        </w:rPr>
        <w:t>, the instructions to Form ADV require that the calculation of the value of private fund assets under management (1) be made on a gross basis; (2) be based on market value (or fair value where market value is unavailable); (3) include assets managed without compensation; (4) only include the portion of any “securities portfolio” for which the adviser provides “continuous and regular supervisory or management services;” and (5) include uncalled commitments.</w:t>
      </w:r>
    </w:p>
    <w:p w:rsidR="00EA6FEE" w:rsidRPr="00EA6FEE" w:rsidRDefault="00EA6FEE" w:rsidP="00EA6FEE">
      <w:pPr>
        <w:spacing w:before="100" w:beforeAutospacing="1" w:after="100" w:afterAutospacing="1"/>
        <w:contextualSpacing w:val="0"/>
        <w:rPr>
          <w:rFonts w:eastAsia="Times New Roman" w:cs="Arial"/>
          <w:color w:val="444444"/>
          <w:sz w:val="18"/>
          <w:szCs w:val="18"/>
        </w:rPr>
      </w:pPr>
      <w:bookmarkStart w:id="2" w:name="17"/>
      <w:proofErr w:type="gramStart"/>
      <w:r w:rsidRPr="00EA6FEE">
        <w:rPr>
          <w:rFonts w:eastAsia="Times New Roman" w:cs="Arial"/>
          <w:b/>
          <w:bCs/>
          <w:i/>
          <w:iCs/>
          <w:color w:val="7FADBC"/>
          <w:sz w:val="18"/>
          <w:szCs w:val="18"/>
        </w:rPr>
        <w:t xml:space="preserve">Affiliated Advisers / </w:t>
      </w:r>
      <w:proofErr w:type="spellStart"/>
      <w:r w:rsidRPr="00EA6FEE">
        <w:rPr>
          <w:rFonts w:eastAsia="Times New Roman" w:cs="Arial"/>
          <w:b/>
          <w:bCs/>
          <w:i/>
          <w:iCs/>
          <w:color w:val="7FADBC"/>
          <w:sz w:val="18"/>
          <w:szCs w:val="18"/>
        </w:rPr>
        <w:t>Unibanco</w:t>
      </w:r>
      <w:proofErr w:type="spellEnd"/>
      <w:r w:rsidRPr="00EA6FEE">
        <w:rPr>
          <w:rFonts w:eastAsia="Times New Roman" w:cs="Arial"/>
          <w:b/>
          <w:bCs/>
          <w:i/>
          <w:iCs/>
          <w:color w:val="7FADBC"/>
          <w:sz w:val="18"/>
          <w:szCs w:val="18"/>
        </w:rPr>
        <w:t xml:space="preserve"> No-Action Letters</w:t>
      </w:r>
      <w:bookmarkEnd w:id="2"/>
      <w:r w:rsidRPr="00EA6FEE">
        <w:rPr>
          <w:rFonts w:eastAsia="Times New Roman" w:cs="Arial"/>
          <w:b/>
          <w:bCs/>
          <w:i/>
          <w:iCs/>
          <w:color w:val="444444"/>
          <w:sz w:val="18"/>
          <w:szCs w:val="18"/>
        </w:rPr>
        <w:t>.</w:t>
      </w:r>
      <w:proofErr w:type="gramEnd"/>
      <w:r w:rsidRPr="00EA6FEE">
        <w:rPr>
          <w:rFonts w:eastAsia="Times New Roman" w:cs="Arial"/>
          <w:b/>
          <w:bCs/>
          <w:color w:val="444444"/>
          <w:sz w:val="18"/>
          <w:szCs w:val="18"/>
        </w:rPr>
        <w:t xml:space="preserve"> </w:t>
      </w:r>
      <w:r w:rsidRPr="00EA6FEE">
        <w:rPr>
          <w:rFonts w:eastAsia="Times New Roman" w:cs="Arial"/>
          <w:color w:val="444444"/>
          <w:sz w:val="18"/>
          <w:szCs w:val="18"/>
        </w:rPr>
        <w:t xml:space="preserve">The </w:t>
      </w:r>
      <w:hyperlink r:id="rId20" w:anchor="17" w:tgtFrame="_self" w:history="1">
        <w:r w:rsidRPr="00EA6FEE">
          <w:rPr>
            <w:rFonts w:eastAsia="Times New Roman" w:cs="Arial"/>
            <w:color w:val="7FADBC"/>
            <w:sz w:val="18"/>
            <w:szCs w:val="18"/>
          </w:rPr>
          <w:t>SEC</w:t>
        </w:r>
      </w:hyperlink>
      <w:r w:rsidRPr="00EA6FEE">
        <w:rPr>
          <w:rFonts w:eastAsia="Times New Roman" w:cs="Arial"/>
          <w:color w:val="444444"/>
          <w:sz w:val="18"/>
          <w:szCs w:val="18"/>
        </w:rPr>
        <w:t xml:space="preserve"> noted in the Implementing Release that an adviser cannot satisfy exemptions, such as the $150 million Private Fund Adviser Exemption, by simply reorganizing into two separate advisory entities to split the business so that each entity’s assets under management are below various thresholds, which would violate the general prohibition on doing indirectly what cannot be done directly. The SEC reiterated that whether two affiliated advisers would be integrated is based on a facts and circumstances analysis of certain factors discussed in prior no-action letters issued by the staff of the Division of Investment Management of the SEC (the “</w:t>
      </w:r>
      <w:r w:rsidRPr="00EA6FEE">
        <w:rPr>
          <w:rFonts w:eastAsia="Times New Roman" w:cs="Arial"/>
          <w:b/>
          <w:bCs/>
          <w:color w:val="444444"/>
          <w:sz w:val="18"/>
          <w:szCs w:val="18"/>
        </w:rPr>
        <w:t>Staff</w:t>
      </w:r>
      <w:r w:rsidRPr="00EA6FEE">
        <w:rPr>
          <w:rFonts w:eastAsia="Times New Roman" w:cs="Arial"/>
          <w:color w:val="444444"/>
          <w:sz w:val="18"/>
          <w:szCs w:val="18"/>
        </w:rPr>
        <w:t>”).</w:t>
      </w:r>
      <w:r w:rsidRPr="00EA6FEE">
        <w:rPr>
          <w:rFonts w:eastAsia="Times New Roman" w:cs="Arial"/>
          <w:color w:val="444444"/>
          <w:sz w:val="14"/>
          <w:szCs w:val="14"/>
          <w:vertAlign w:val="superscript"/>
        </w:rPr>
        <w:t>14</w:t>
      </w:r>
      <w:r w:rsidRPr="00EA6FEE">
        <w:rPr>
          <w:rFonts w:eastAsia="Times New Roman" w:cs="Arial"/>
          <w:color w:val="444444"/>
          <w:sz w:val="18"/>
          <w:szCs w:val="18"/>
        </w:rPr>
        <w:t xml:space="preserve"> </w:t>
      </w:r>
    </w:p>
    <w:p w:rsidR="00EA6FEE" w:rsidRPr="00EA6FEE" w:rsidRDefault="00EA6FEE" w:rsidP="00EA6FEE">
      <w:pPr>
        <w:spacing w:before="100" w:beforeAutospacing="1" w:after="100" w:afterAutospacing="1"/>
        <w:contextualSpacing w:val="0"/>
        <w:rPr>
          <w:rFonts w:eastAsia="Times New Roman" w:cs="Arial"/>
          <w:color w:val="444444"/>
          <w:sz w:val="18"/>
          <w:szCs w:val="18"/>
        </w:rPr>
      </w:pPr>
      <w:r w:rsidRPr="00EA6FEE">
        <w:rPr>
          <w:rFonts w:eastAsia="Times New Roman" w:cs="Arial"/>
          <w:color w:val="444444"/>
          <w:sz w:val="18"/>
          <w:szCs w:val="18"/>
        </w:rPr>
        <w:t xml:space="preserve">Multi-national advisory structures with a registered investment adviser in the U.S. and an affiliated non-U.S. unregistered adviser have historically relied on the line of no-action letters issued by the Staff beginning with the </w:t>
      </w:r>
      <w:proofErr w:type="spellStart"/>
      <w:r w:rsidRPr="00EA6FEE">
        <w:rPr>
          <w:rFonts w:eastAsia="Times New Roman" w:cs="Arial"/>
          <w:i/>
          <w:iCs/>
          <w:color w:val="444444"/>
          <w:sz w:val="18"/>
          <w:szCs w:val="18"/>
        </w:rPr>
        <w:t>Unibanco</w:t>
      </w:r>
      <w:proofErr w:type="spellEnd"/>
      <w:r w:rsidRPr="00EA6FEE">
        <w:rPr>
          <w:rFonts w:eastAsia="Times New Roman" w:cs="Arial"/>
          <w:color w:val="444444"/>
          <w:sz w:val="18"/>
          <w:szCs w:val="18"/>
        </w:rPr>
        <w:t xml:space="preserve"> no-action letter.</w:t>
      </w:r>
      <w:r w:rsidRPr="00EA6FEE">
        <w:rPr>
          <w:rFonts w:eastAsia="Times New Roman" w:cs="Arial"/>
          <w:color w:val="444444"/>
          <w:sz w:val="14"/>
          <w:szCs w:val="14"/>
          <w:vertAlign w:val="superscript"/>
        </w:rPr>
        <w:t>15</w:t>
      </w:r>
      <w:r w:rsidRPr="00EA6FEE">
        <w:rPr>
          <w:rFonts w:eastAsia="Times New Roman" w:cs="Arial"/>
          <w:color w:val="444444"/>
          <w:sz w:val="18"/>
          <w:szCs w:val="18"/>
        </w:rPr>
        <w:t xml:space="preserve"> Under this line of no-action letters, the Staff adopted a less stringent approach to integrating a registered U.S. adviser and an affiliated, unregistered non-U.S. adviser than was the case under the position in the </w:t>
      </w:r>
      <w:r w:rsidRPr="00EA6FEE">
        <w:rPr>
          <w:rFonts w:eastAsia="Times New Roman" w:cs="Arial"/>
          <w:i/>
          <w:iCs/>
          <w:color w:val="444444"/>
          <w:sz w:val="18"/>
          <w:szCs w:val="18"/>
        </w:rPr>
        <w:t>Richard Ellis</w:t>
      </w:r>
      <w:r w:rsidRPr="00EA6FEE">
        <w:rPr>
          <w:rFonts w:eastAsia="Times New Roman" w:cs="Arial"/>
          <w:color w:val="444444"/>
          <w:sz w:val="18"/>
          <w:szCs w:val="18"/>
        </w:rPr>
        <w:t xml:space="preserve"> no-action letter, by permitting such a non-U.S. adviser to remain separate and unregistered despite sharing resources and personnel with its affiliated, registered U.S. adviser (provided that certain other conditions were met). As noted above, a non-U.S. adviser with its principal office and place of business outside of the U.S. is only required to consider assets that are managed from a place of business in the U.S. for purposes of the $150 million threshold under the Private Fund Adviser Exemption; accordingly, many multi-national advisers sought affirmation from the SEC that it would continue to apply the </w:t>
      </w:r>
      <w:proofErr w:type="spellStart"/>
      <w:r w:rsidRPr="00EA6FEE">
        <w:rPr>
          <w:rFonts w:eastAsia="Times New Roman" w:cs="Arial"/>
          <w:i/>
          <w:iCs/>
          <w:color w:val="444444"/>
          <w:sz w:val="18"/>
          <w:szCs w:val="18"/>
        </w:rPr>
        <w:t>Unibanco</w:t>
      </w:r>
      <w:proofErr w:type="spellEnd"/>
      <w:r w:rsidRPr="00EA6FEE">
        <w:rPr>
          <w:rFonts w:eastAsia="Times New Roman" w:cs="Arial"/>
          <w:color w:val="444444"/>
          <w:sz w:val="18"/>
          <w:szCs w:val="18"/>
        </w:rPr>
        <w:t xml:space="preserve"> position in determining the assets that are managed by a non-U.S. adviser from a place of business in the U.S.</w:t>
      </w:r>
    </w:p>
    <w:p w:rsidR="00EA6FEE" w:rsidRPr="00EA6FEE" w:rsidRDefault="00EA6FEE" w:rsidP="00EA6FEE">
      <w:pPr>
        <w:spacing w:before="100" w:beforeAutospacing="1" w:after="100" w:afterAutospacing="1"/>
        <w:contextualSpacing w:val="0"/>
        <w:rPr>
          <w:rFonts w:eastAsia="Times New Roman" w:cs="Arial"/>
          <w:color w:val="444444"/>
          <w:sz w:val="18"/>
          <w:szCs w:val="18"/>
        </w:rPr>
      </w:pPr>
      <w:r w:rsidRPr="00EA6FEE">
        <w:rPr>
          <w:rFonts w:eastAsia="Times New Roman" w:cs="Arial"/>
          <w:color w:val="444444"/>
          <w:sz w:val="18"/>
          <w:szCs w:val="18"/>
        </w:rPr>
        <w:t xml:space="preserve">While the SEC stated in the </w:t>
      </w:r>
      <w:proofErr w:type="spellStart"/>
      <w:r w:rsidRPr="00EA6FEE">
        <w:rPr>
          <w:rFonts w:eastAsia="Times New Roman" w:cs="Arial"/>
          <w:color w:val="444444"/>
          <w:sz w:val="18"/>
          <w:szCs w:val="18"/>
        </w:rPr>
        <w:t>Exemptive</w:t>
      </w:r>
      <w:proofErr w:type="spellEnd"/>
      <w:r w:rsidRPr="00EA6FEE">
        <w:rPr>
          <w:rFonts w:eastAsia="Times New Roman" w:cs="Arial"/>
          <w:color w:val="444444"/>
          <w:sz w:val="18"/>
          <w:szCs w:val="18"/>
        </w:rPr>
        <w:t xml:space="preserve"> Release that it was not intending to withdraw any prior statement or views under the </w:t>
      </w:r>
      <w:proofErr w:type="spellStart"/>
      <w:r w:rsidRPr="00EA6FEE">
        <w:rPr>
          <w:rFonts w:eastAsia="Times New Roman" w:cs="Arial"/>
          <w:i/>
          <w:iCs/>
          <w:color w:val="444444"/>
          <w:sz w:val="18"/>
          <w:szCs w:val="18"/>
        </w:rPr>
        <w:t>Unibanco</w:t>
      </w:r>
      <w:proofErr w:type="spellEnd"/>
      <w:r w:rsidRPr="00EA6FEE">
        <w:rPr>
          <w:rFonts w:eastAsia="Times New Roman" w:cs="Arial"/>
          <w:color w:val="444444"/>
          <w:sz w:val="18"/>
          <w:szCs w:val="18"/>
        </w:rPr>
        <w:t xml:space="preserve"> line of no-action letters, it did not specifically affirm positions taken under the </w:t>
      </w:r>
      <w:proofErr w:type="spellStart"/>
      <w:r w:rsidRPr="00EA6FEE">
        <w:rPr>
          <w:rFonts w:eastAsia="Times New Roman" w:cs="Arial"/>
          <w:i/>
          <w:iCs/>
          <w:color w:val="444444"/>
          <w:sz w:val="18"/>
          <w:szCs w:val="18"/>
        </w:rPr>
        <w:t>Unibanco</w:t>
      </w:r>
      <w:proofErr w:type="spellEnd"/>
      <w:r w:rsidRPr="00EA6FEE">
        <w:rPr>
          <w:rFonts w:eastAsia="Times New Roman" w:cs="Arial"/>
          <w:color w:val="444444"/>
          <w:sz w:val="18"/>
          <w:szCs w:val="18"/>
        </w:rPr>
        <w:t xml:space="preserve"> line of letters, despite acknowledging the request to do so by a number of commentators. Moreover, the SEC noted that “the </w:t>
      </w:r>
      <w:proofErr w:type="spellStart"/>
      <w:r w:rsidRPr="00EA6FEE">
        <w:rPr>
          <w:rFonts w:eastAsia="Times New Roman" w:cs="Arial"/>
          <w:color w:val="444444"/>
          <w:sz w:val="18"/>
          <w:szCs w:val="18"/>
        </w:rPr>
        <w:t>Unibanco</w:t>
      </w:r>
      <w:proofErr w:type="spellEnd"/>
      <w:r w:rsidRPr="00EA6FEE">
        <w:rPr>
          <w:rFonts w:eastAsia="Times New Roman" w:cs="Arial"/>
          <w:color w:val="444444"/>
          <w:sz w:val="18"/>
          <w:szCs w:val="18"/>
        </w:rPr>
        <w:t xml:space="preserve"> letters were developed by the staff in the context of the private [adviser] exemption, which Congress repealed….. We expect that the staff will provide guidance, as appropriate, based on the facts that may be presented to the staff regarding the application of the </w:t>
      </w:r>
      <w:proofErr w:type="spellStart"/>
      <w:r w:rsidRPr="00EA6FEE">
        <w:rPr>
          <w:rFonts w:eastAsia="Times New Roman" w:cs="Arial"/>
          <w:color w:val="444444"/>
          <w:sz w:val="18"/>
          <w:szCs w:val="18"/>
        </w:rPr>
        <w:t>Unibanco</w:t>
      </w:r>
      <w:proofErr w:type="spellEnd"/>
      <w:r w:rsidRPr="00EA6FEE">
        <w:rPr>
          <w:rFonts w:eastAsia="Times New Roman" w:cs="Arial"/>
          <w:color w:val="444444"/>
          <w:sz w:val="18"/>
          <w:szCs w:val="18"/>
        </w:rPr>
        <w:t xml:space="preserve"> letters in the context of the new foreign private adviser exemption and the private fund adviser exemption.”</w:t>
      </w:r>
    </w:p>
    <w:p w:rsidR="00EA6FEE" w:rsidRPr="00EA6FEE" w:rsidRDefault="00EA6FEE" w:rsidP="00EA6FEE">
      <w:pPr>
        <w:spacing w:before="100" w:beforeAutospacing="1" w:after="100" w:afterAutospacing="1"/>
        <w:contextualSpacing w:val="0"/>
        <w:jc w:val="both"/>
        <w:rPr>
          <w:rFonts w:eastAsia="Times New Roman" w:cs="Arial"/>
          <w:color w:val="444444"/>
          <w:sz w:val="18"/>
          <w:szCs w:val="18"/>
        </w:rPr>
      </w:pPr>
      <w:r w:rsidRPr="00EA6FEE">
        <w:rPr>
          <w:rFonts w:eastAsia="Times New Roman" w:cs="Arial"/>
          <w:color w:val="444444"/>
          <w:sz w:val="18"/>
          <w:szCs w:val="18"/>
        </w:rPr>
        <w:t xml:space="preserve">Given these statements made by the SEC and the nature of the new Foreign Private Adviser Exemption and Private Fund Adviser Exemption, which by their terms take a territorial approach that focuses on where assets are being managed, advisers should be cautious in relying on the </w:t>
      </w:r>
      <w:proofErr w:type="spellStart"/>
      <w:r w:rsidRPr="00EA6FEE">
        <w:rPr>
          <w:rFonts w:eastAsia="Times New Roman" w:cs="Arial"/>
          <w:i/>
          <w:iCs/>
          <w:color w:val="444444"/>
          <w:sz w:val="18"/>
          <w:szCs w:val="18"/>
        </w:rPr>
        <w:t>Unibanco</w:t>
      </w:r>
      <w:proofErr w:type="spellEnd"/>
      <w:r w:rsidRPr="00EA6FEE">
        <w:rPr>
          <w:rFonts w:eastAsia="Times New Roman" w:cs="Arial"/>
          <w:color w:val="444444"/>
          <w:sz w:val="18"/>
          <w:szCs w:val="18"/>
        </w:rPr>
        <w:t xml:space="preserve"> letters absent further guidance either generally or in respect of specific situations.</w:t>
      </w:r>
    </w:p>
    <w:p w:rsidR="00EA6FEE" w:rsidRPr="00EA6FEE" w:rsidRDefault="00EA6FEE" w:rsidP="00EA6FEE">
      <w:pPr>
        <w:spacing w:before="100" w:beforeAutospacing="1" w:after="100" w:afterAutospacing="1"/>
        <w:contextualSpacing w:val="0"/>
        <w:rPr>
          <w:rFonts w:eastAsia="Times New Roman" w:cs="Arial"/>
          <w:color w:val="444444"/>
          <w:sz w:val="18"/>
          <w:szCs w:val="18"/>
        </w:rPr>
      </w:pPr>
      <w:r w:rsidRPr="00EA6FEE">
        <w:rPr>
          <w:rFonts w:eastAsia="Times New Roman" w:cs="Arial"/>
          <w:color w:val="444444"/>
          <w:sz w:val="18"/>
          <w:szCs w:val="18"/>
        </w:rPr>
        <w:lastRenderedPageBreak/>
        <w:t xml:space="preserve">Certain multi-national advisers to private funds have a business model in which investment activities are conducted with relative independence and through separate legal entities, particularly in non-U.S. jurisdictions where local presence, relationships and knowledge are essential. In some cases, these advisers may manage exclusively VC funds in the U.S., but may have a broader mandate in another jurisdiction where the local professionals manage funds that are not VC funds. Viewed as a whole, these advisers may be unable to qualify for the Venture Capital Exemption (because of their non-U.S. business) or for the Private Fund Adviser Exemption (because of their U.S. business), even if each business, when viewed separately, would allow the adviser to be an ERA. Pending further guidance on the </w:t>
      </w:r>
      <w:proofErr w:type="spellStart"/>
      <w:r w:rsidRPr="00EA6FEE">
        <w:rPr>
          <w:rFonts w:eastAsia="Times New Roman" w:cs="Arial"/>
          <w:i/>
          <w:iCs/>
          <w:color w:val="444444"/>
          <w:sz w:val="18"/>
          <w:szCs w:val="18"/>
        </w:rPr>
        <w:t>Unibanco</w:t>
      </w:r>
      <w:proofErr w:type="spellEnd"/>
      <w:r w:rsidRPr="00EA6FEE">
        <w:rPr>
          <w:rFonts w:eastAsia="Times New Roman" w:cs="Arial"/>
          <w:color w:val="444444"/>
          <w:sz w:val="18"/>
          <w:szCs w:val="18"/>
        </w:rPr>
        <w:t xml:space="preserve"> analysis, these advisers may wish to consider whether their operations do or can satisfy the criteria set forth in the </w:t>
      </w:r>
      <w:r w:rsidRPr="00EA6FEE">
        <w:rPr>
          <w:rFonts w:eastAsia="Times New Roman" w:cs="Arial"/>
          <w:i/>
          <w:iCs/>
          <w:color w:val="444444"/>
          <w:sz w:val="18"/>
          <w:szCs w:val="18"/>
        </w:rPr>
        <w:t>Richard Ellis</w:t>
      </w:r>
      <w:r w:rsidRPr="00EA6FEE">
        <w:rPr>
          <w:rFonts w:eastAsia="Times New Roman" w:cs="Arial"/>
          <w:color w:val="444444"/>
          <w:sz w:val="18"/>
          <w:szCs w:val="18"/>
        </w:rPr>
        <w:t xml:space="preserve"> no-action letter.</w:t>
      </w:r>
      <w:r w:rsidRPr="00EA6FEE">
        <w:rPr>
          <w:rFonts w:eastAsia="Times New Roman" w:cs="Arial"/>
          <w:color w:val="444444"/>
          <w:sz w:val="14"/>
          <w:szCs w:val="14"/>
          <w:vertAlign w:val="superscript"/>
        </w:rPr>
        <w:t>16</w:t>
      </w:r>
      <w:r w:rsidRPr="00EA6FEE">
        <w:rPr>
          <w:rFonts w:eastAsia="Times New Roman" w:cs="Arial"/>
          <w:color w:val="444444"/>
          <w:sz w:val="18"/>
          <w:szCs w:val="18"/>
        </w:rPr>
        <w:t xml:space="preserve"> </w:t>
      </w:r>
      <w:proofErr w:type="gramStart"/>
      <w:r w:rsidRPr="00EA6FEE">
        <w:rPr>
          <w:rFonts w:eastAsia="Times New Roman" w:cs="Arial"/>
          <w:color w:val="444444"/>
          <w:sz w:val="18"/>
          <w:szCs w:val="18"/>
        </w:rPr>
        <w:t>Under</w:t>
      </w:r>
      <w:proofErr w:type="gramEnd"/>
      <w:r w:rsidRPr="00EA6FEE">
        <w:rPr>
          <w:rFonts w:eastAsia="Times New Roman" w:cs="Arial"/>
          <w:color w:val="444444"/>
          <w:sz w:val="18"/>
          <w:szCs w:val="18"/>
        </w:rPr>
        <w:t xml:space="preserve"> appropriate facts and circumstances, it would not be necessary to integrate the business of affiliated entities for determining registration requirements and the availability of exemptions under the new rules.</w:t>
      </w:r>
    </w:p>
    <w:p w:rsidR="00EA6FEE" w:rsidRPr="00EA6FEE" w:rsidRDefault="00EA6FEE" w:rsidP="00EA6FEE">
      <w:pPr>
        <w:contextualSpacing w:val="0"/>
        <w:rPr>
          <w:rFonts w:eastAsia="Times New Roman" w:cs="Arial"/>
          <w:color w:val="444444"/>
          <w:sz w:val="20"/>
          <w:szCs w:val="20"/>
        </w:rPr>
      </w:pPr>
      <w:r w:rsidRPr="00EA6FEE">
        <w:rPr>
          <w:rFonts w:eastAsia="Times New Roman" w:cs="Arial"/>
          <w:color w:val="444444"/>
          <w:sz w:val="20"/>
          <w:szCs w:val="20"/>
        </w:rPr>
        <w:br w:type="textWrapping" w:clear="all"/>
      </w:r>
    </w:p>
    <w:p w:rsidR="00EA6FEE" w:rsidRPr="00EA6FEE" w:rsidRDefault="00EA6FEE" w:rsidP="00EA6FEE">
      <w:pPr>
        <w:spacing w:before="240" w:after="240"/>
        <w:contextualSpacing w:val="0"/>
        <w:rPr>
          <w:rFonts w:eastAsia="Times New Roman" w:cs="Arial"/>
          <w:color w:val="444444"/>
          <w:sz w:val="20"/>
          <w:szCs w:val="20"/>
        </w:rPr>
      </w:pPr>
      <w:r w:rsidRPr="00EA6FEE">
        <w:rPr>
          <w:rFonts w:eastAsia="Times New Roman" w:cs="Arial"/>
          <w:color w:val="444444"/>
          <w:sz w:val="20"/>
          <w:szCs w:val="20"/>
        </w:rPr>
        <w:pict>
          <v:rect id="_x0000_i1033" style="width:154.45pt;height:.75pt" o:hrpct="330" o:hrstd="t" o:hr="t" fillcolor="gray" stroked="f"/>
        </w:pict>
      </w:r>
    </w:p>
    <w:p w:rsidR="00EA6FEE" w:rsidRPr="00EA6FEE" w:rsidRDefault="00EA6FEE" w:rsidP="00EA6FEE">
      <w:pPr>
        <w:spacing w:before="100" w:beforeAutospacing="1" w:after="100" w:afterAutospacing="1"/>
        <w:contextualSpacing w:val="0"/>
        <w:rPr>
          <w:rFonts w:eastAsia="Times New Roman" w:cs="Arial"/>
          <w:color w:val="444444"/>
          <w:sz w:val="18"/>
          <w:szCs w:val="18"/>
        </w:rPr>
      </w:pPr>
      <w:r w:rsidRPr="00EA6FEE">
        <w:rPr>
          <w:rFonts w:eastAsia="Times New Roman" w:cs="Arial"/>
          <w:color w:val="444444"/>
          <w:sz w:val="18"/>
          <w:szCs w:val="18"/>
        </w:rPr>
        <w:t>11 Qualifying Private Funds means private funds that have not registered as investment companies under the 1940 Act or elected to be business development companies under that Act.</w:t>
      </w:r>
    </w:p>
    <w:p w:rsidR="00EA6FEE" w:rsidRPr="00EA6FEE" w:rsidRDefault="00EA6FEE" w:rsidP="00EA6FEE">
      <w:pPr>
        <w:spacing w:before="100" w:beforeAutospacing="1" w:after="100" w:afterAutospacing="1"/>
        <w:contextualSpacing w:val="0"/>
        <w:rPr>
          <w:rFonts w:eastAsia="Times New Roman" w:cs="Arial"/>
          <w:color w:val="444444"/>
          <w:sz w:val="18"/>
          <w:szCs w:val="18"/>
        </w:rPr>
      </w:pPr>
      <w:r w:rsidRPr="00EA6FEE">
        <w:rPr>
          <w:rFonts w:eastAsia="Times New Roman" w:cs="Arial"/>
          <w:color w:val="444444"/>
          <w:sz w:val="18"/>
          <w:szCs w:val="18"/>
        </w:rPr>
        <w:t>12 “Manage” means to provide continuous and regular supervisory or management services as contemplated in the instructions to Item 5 of Form ADV Part 1A.</w:t>
      </w:r>
    </w:p>
    <w:p w:rsidR="00EA6FEE" w:rsidRPr="00EA6FEE" w:rsidRDefault="00EA6FEE" w:rsidP="00EA6FEE">
      <w:pPr>
        <w:spacing w:before="100" w:beforeAutospacing="1" w:after="100" w:afterAutospacing="1"/>
        <w:contextualSpacing w:val="0"/>
        <w:rPr>
          <w:rFonts w:eastAsia="Times New Roman" w:cs="Arial"/>
          <w:color w:val="444444"/>
          <w:sz w:val="18"/>
          <w:szCs w:val="18"/>
        </w:rPr>
      </w:pPr>
      <w:r w:rsidRPr="00EA6FEE">
        <w:rPr>
          <w:rFonts w:eastAsia="Times New Roman" w:cs="Arial"/>
          <w:color w:val="444444"/>
          <w:sz w:val="18"/>
          <w:szCs w:val="18"/>
        </w:rPr>
        <w:t xml:space="preserve">13 Including the special rules for calculating private fund “assets under management”, as discussed </w:t>
      </w:r>
      <w:hyperlink r:id="rId21" w:anchor="24" w:tgtFrame="_blank" w:history="1">
        <w:r w:rsidRPr="00EA6FEE">
          <w:rPr>
            <w:rFonts w:eastAsia="Times New Roman" w:cs="Arial"/>
            <w:color w:val="7FADBC"/>
            <w:sz w:val="18"/>
            <w:szCs w:val="18"/>
          </w:rPr>
          <w:t>below</w:t>
        </w:r>
      </w:hyperlink>
      <w:r w:rsidRPr="00EA6FEE">
        <w:rPr>
          <w:rFonts w:eastAsia="Times New Roman" w:cs="Arial"/>
          <w:color w:val="444444"/>
          <w:sz w:val="18"/>
          <w:szCs w:val="18"/>
        </w:rPr>
        <w:t xml:space="preserve">. </w:t>
      </w:r>
    </w:p>
    <w:p w:rsidR="00EA6FEE" w:rsidRPr="00EA6FEE" w:rsidRDefault="00EA6FEE" w:rsidP="00EA6FEE">
      <w:pPr>
        <w:spacing w:before="100" w:beforeAutospacing="1" w:after="100" w:afterAutospacing="1"/>
        <w:contextualSpacing w:val="0"/>
        <w:rPr>
          <w:rFonts w:eastAsia="Times New Roman" w:cs="Arial"/>
          <w:color w:val="444444"/>
          <w:sz w:val="18"/>
          <w:szCs w:val="18"/>
        </w:rPr>
      </w:pPr>
      <w:proofErr w:type="gramStart"/>
      <w:r w:rsidRPr="00EA6FEE">
        <w:rPr>
          <w:rFonts w:eastAsia="Times New Roman" w:cs="Arial"/>
          <w:color w:val="444444"/>
          <w:sz w:val="18"/>
          <w:szCs w:val="18"/>
        </w:rPr>
        <w:t xml:space="preserve">14 See, </w:t>
      </w:r>
      <w:r w:rsidRPr="00EA6FEE">
        <w:rPr>
          <w:rFonts w:eastAsia="Times New Roman" w:cs="Arial"/>
          <w:i/>
          <w:iCs/>
          <w:color w:val="444444"/>
          <w:sz w:val="18"/>
          <w:szCs w:val="18"/>
        </w:rPr>
        <w:t>e.g.</w:t>
      </w:r>
      <w:r w:rsidRPr="00EA6FEE">
        <w:rPr>
          <w:rFonts w:eastAsia="Times New Roman" w:cs="Arial"/>
          <w:color w:val="444444"/>
          <w:sz w:val="18"/>
          <w:szCs w:val="18"/>
        </w:rPr>
        <w:t>, Richard Ellis, Inc., SEC Staff No-Action Letter (Sept. 17, 1981) (“</w:t>
      </w:r>
      <w:r w:rsidRPr="00EA6FEE">
        <w:rPr>
          <w:rFonts w:eastAsia="Times New Roman" w:cs="Arial"/>
          <w:b/>
          <w:bCs/>
          <w:i/>
          <w:iCs/>
          <w:color w:val="444444"/>
          <w:sz w:val="18"/>
          <w:szCs w:val="18"/>
        </w:rPr>
        <w:t>Richard Ellis</w:t>
      </w:r>
      <w:r w:rsidRPr="00EA6FEE">
        <w:rPr>
          <w:rFonts w:eastAsia="Times New Roman" w:cs="Arial"/>
          <w:color w:val="444444"/>
          <w:sz w:val="18"/>
          <w:szCs w:val="18"/>
        </w:rPr>
        <w:t>”).</w:t>
      </w:r>
      <w:proofErr w:type="gramEnd"/>
    </w:p>
    <w:p w:rsidR="00EA6FEE" w:rsidRPr="00EA6FEE" w:rsidRDefault="00EA6FEE" w:rsidP="00EA6FEE">
      <w:pPr>
        <w:spacing w:before="100" w:beforeAutospacing="1" w:after="100" w:afterAutospacing="1"/>
        <w:contextualSpacing w:val="0"/>
        <w:rPr>
          <w:rFonts w:eastAsia="Times New Roman" w:cs="Arial"/>
          <w:color w:val="444444"/>
          <w:sz w:val="18"/>
          <w:szCs w:val="18"/>
        </w:rPr>
      </w:pPr>
      <w:proofErr w:type="gramStart"/>
      <w:r w:rsidRPr="00EA6FEE">
        <w:rPr>
          <w:rFonts w:eastAsia="Times New Roman" w:cs="Arial"/>
          <w:color w:val="444444"/>
          <w:sz w:val="18"/>
          <w:szCs w:val="18"/>
        </w:rPr>
        <w:t xml:space="preserve">15 </w:t>
      </w:r>
      <w:proofErr w:type="spellStart"/>
      <w:r w:rsidRPr="00EA6FEE">
        <w:rPr>
          <w:rFonts w:eastAsia="Times New Roman" w:cs="Arial"/>
          <w:color w:val="444444"/>
          <w:sz w:val="18"/>
          <w:szCs w:val="18"/>
        </w:rPr>
        <w:t>Uniao</w:t>
      </w:r>
      <w:proofErr w:type="spellEnd"/>
      <w:r w:rsidRPr="00EA6FEE">
        <w:rPr>
          <w:rFonts w:eastAsia="Times New Roman" w:cs="Arial"/>
          <w:color w:val="444444"/>
          <w:sz w:val="18"/>
          <w:szCs w:val="18"/>
        </w:rPr>
        <w:t xml:space="preserve"> de </w:t>
      </w:r>
      <w:proofErr w:type="spellStart"/>
      <w:r w:rsidRPr="00EA6FEE">
        <w:rPr>
          <w:rFonts w:eastAsia="Times New Roman" w:cs="Arial"/>
          <w:color w:val="444444"/>
          <w:sz w:val="18"/>
          <w:szCs w:val="18"/>
        </w:rPr>
        <w:t>Bancos</w:t>
      </w:r>
      <w:proofErr w:type="spellEnd"/>
      <w:r w:rsidRPr="00EA6FEE">
        <w:rPr>
          <w:rFonts w:eastAsia="Times New Roman" w:cs="Arial"/>
          <w:color w:val="444444"/>
          <w:sz w:val="18"/>
          <w:szCs w:val="18"/>
        </w:rPr>
        <w:t xml:space="preserve"> de </w:t>
      </w:r>
      <w:proofErr w:type="spellStart"/>
      <w:r w:rsidRPr="00EA6FEE">
        <w:rPr>
          <w:rFonts w:eastAsia="Times New Roman" w:cs="Arial"/>
          <w:color w:val="444444"/>
          <w:sz w:val="18"/>
          <w:szCs w:val="18"/>
        </w:rPr>
        <w:t>Brasileiros</w:t>
      </w:r>
      <w:proofErr w:type="spellEnd"/>
      <w:r w:rsidRPr="00EA6FEE">
        <w:rPr>
          <w:rFonts w:eastAsia="Times New Roman" w:cs="Arial"/>
          <w:color w:val="444444"/>
          <w:sz w:val="18"/>
          <w:szCs w:val="18"/>
        </w:rPr>
        <w:t xml:space="preserve"> S.A., SEC Staff No-Action Letter (July 28, 1992) (“</w:t>
      </w:r>
      <w:proofErr w:type="spellStart"/>
      <w:r w:rsidRPr="00EA6FEE">
        <w:rPr>
          <w:rFonts w:eastAsia="Times New Roman" w:cs="Arial"/>
          <w:b/>
          <w:bCs/>
          <w:i/>
          <w:iCs/>
          <w:color w:val="444444"/>
          <w:sz w:val="18"/>
          <w:szCs w:val="18"/>
        </w:rPr>
        <w:t>Unibanco</w:t>
      </w:r>
      <w:proofErr w:type="spellEnd"/>
      <w:r w:rsidRPr="00EA6FEE">
        <w:rPr>
          <w:rFonts w:eastAsia="Times New Roman" w:cs="Arial"/>
          <w:color w:val="444444"/>
          <w:sz w:val="18"/>
          <w:szCs w:val="18"/>
        </w:rPr>
        <w:t>”).</w:t>
      </w:r>
      <w:proofErr w:type="gramEnd"/>
      <w:r w:rsidRPr="00EA6FEE">
        <w:rPr>
          <w:rFonts w:eastAsia="Times New Roman" w:cs="Arial"/>
          <w:color w:val="444444"/>
          <w:sz w:val="18"/>
          <w:szCs w:val="18"/>
        </w:rPr>
        <w:t xml:space="preserve"> Under this no-action letter, the Staff indicated that it would not recommend enforcement action for failure to register against an unregistered non-U.S. adviser that is separately organized from an affiliated, registered U.S. investment adviser if: (1) each is separately organized and staffed with personnel (located in the U.S. or abroad) who are capable of providing investment advice; (2) all personnel of the unregistered adviser involved in the U.S. advisory activities are deemed “associated persons” of the registered adviser; and (3) the SEC has adequate access to trading and other records of each such unregistered affiliate and to its personnel to the extent necessary to enable the SEC to identify conduct that may harm U.S. clients or markets.</w:t>
      </w:r>
    </w:p>
    <w:p w:rsidR="00EA6FEE" w:rsidRPr="00EA6FEE" w:rsidRDefault="00EA6FEE" w:rsidP="00EA6FEE">
      <w:pPr>
        <w:spacing w:before="100" w:beforeAutospacing="1" w:after="100" w:afterAutospacing="1"/>
        <w:contextualSpacing w:val="0"/>
        <w:rPr>
          <w:rFonts w:eastAsia="Times New Roman" w:cs="Arial"/>
          <w:color w:val="444444"/>
          <w:sz w:val="18"/>
          <w:szCs w:val="18"/>
        </w:rPr>
      </w:pPr>
      <w:r w:rsidRPr="00EA6FEE">
        <w:rPr>
          <w:rFonts w:eastAsia="Times New Roman" w:cs="Arial"/>
          <w:color w:val="444444"/>
          <w:sz w:val="18"/>
          <w:szCs w:val="18"/>
        </w:rPr>
        <w:t xml:space="preserve">16 </w:t>
      </w:r>
      <w:r w:rsidRPr="00EA6FEE">
        <w:rPr>
          <w:rFonts w:eastAsia="Times New Roman" w:cs="Arial"/>
          <w:i/>
          <w:iCs/>
          <w:color w:val="444444"/>
          <w:sz w:val="18"/>
          <w:szCs w:val="18"/>
        </w:rPr>
        <w:t>Richard Ellis</w:t>
      </w:r>
      <w:r w:rsidRPr="00EA6FEE">
        <w:rPr>
          <w:rFonts w:eastAsia="Times New Roman" w:cs="Arial"/>
          <w:color w:val="444444"/>
          <w:sz w:val="18"/>
          <w:szCs w:val="18"/>
        </w:rPr>
        <w:t xml:space="preserve"> involved an RIA and its non-U.S. affiliate that was seeking to avoid having its business integrated with the RIA, requiring the affiliate to be registered. The </w:t>
      </w:r>
      <w:r w:rsidRPr="00EA6FEE">
        <w:rPr>
          <w:rFonts w:eastAsia="Times New Roman" w:cs="Arial"/>
          <w:i/>
          <w:iCs/>
          <w:color w:val="444444"/>
          <w:sz w:val="18"/>
          <w:szCs w:val="18"/>
        </w:rPr>
        <w:t>Richard Ellis</w:t>
      </w:r>
      <w:r w:rsidRPr="00EA6FEE">
        <w:rPr>
          <w:rFonts w:eastAsia="Times New Roman" w:cs="Arial"/>
          <w:color w:val="444444"/>
          <w:sz w:val="18"/>
          <w:szCs w:val="18"/>
        </w:rPr>
        <w:t xml:space="preserve"> letter conditioned relief for the affiliated entity of the RIA on the basis that the affiliate (1) is adequately capitalized; (2) has a buffer, such as a board of directors a majority of whose members are independent of the RIA; (3) has employees dedicated to the entity and not engaged in the advisory business of the RIA; (4) uses independent sources of investment information and itself makes the investment decisions; and (5) keeps its investment decisions and advice confidential until communicated to the client.</w:t>
      </w:r>
    </w:p>
    <w:p w:rsidR="00EA6FEE" w:rsidRPr="00EA6FEE" w:rsidRDefault="00EA6FEE" w:rsidP="00EA6FEE">
      <w:pPr>
        <w:spacing w:after="90" w:line="270" w:lineRule="atLeast"/>
        <w:contextualSpacing w:val="0"/>
        <w:outlineLvl w:val="2"/>
        <w:rPr>
          <w:rFonts w:eastAsia="Times New Roman" w:cs="Arial"/>
          <w:sz w:val="21"/>
          <w:szCs w:val="21"/>
        </w:rPr>
      </w:pPr>
      <w:r w:rsidRPr="00EA6FEE">
        <w:rPr>
          <w:rFonts w:eastAsia="Times New Roman" w:cs="Arial"/>
          <w:color w:val="444444"/>
          <w:sz w:val="18"/>
          <w:szCs w:val="18"/>
        </w:rPr>
        <w:pict/>
      </w:r>
      <w:r w:rsidRPr="00EA6FEE">
        <w:rPr>
          <w:rFonts w:eastAsia="Times New Roman" w:cs="Arial"/>
          <w:sz w:val="21"/>
          <w:szCs w:val="21"/>
        </w:rPr>
        <w:t>IN THIS ISSUE:</w:t>
      </w:r>
    </w:p>
    <w:p w:rsidR="00EA6FEE" w:rsidRPr="00EA6FEE" w:rsidRDefault="00EA6FEE" w:rsidP="00EA6FEE">
      <w:pPr>
        <w:numPr>
          <w:ilvl w:val="0"/>
          <w:numId w:val="4"/>
        </w:numPr>
        <w:spacing w:after="75"/>
        <w:ind w:left="390"/>
        <w:contextualSpacing w:val="0"/>
        <w:rPr>
          <w:rFonts w:eastAsia="Times New Roman" w:cs="Arial"/>
          <w:color w:val="7FADBC"/>
          <w:sz w:val="20"/>
          <w:szCs w:val="20"/>
        </w:rPr>
      </w:pPr>
      <w:hyperlink r:id="rId22" w:anchor="news_article_top" w:history="1">
        <w:r w:rsidRPr="00EA6FEE">
          <w:rPr>
            <w:rFonts w:eastAsia="Times New Roman" w:cs="Arial"/>
            <w:color w:val="7FADBC"/>
            <w:sz w:val="20"/>
            <w:szCs w:val="20"/>
          </w:rPr>
          <w:t>Advisers Act Alert Part 1: SEC Adopts New Advisers Act Rules and Implements Registration Exemptions</w:t>
        </w:r>
      </w:hyperlink>
    </w:p>
    <w:p w:rsidR="00EA6FEE" w:rsidRPr="00EA6FEE" w:rsidRDefault="00EA6FEE" w:rsidP="00EA6FEE">
      <w:pPr>
        <w:numPr>
          <w:ilvl w:val="0"/>
          <w:numId w:val="4"/>
        </w:numPr>
        <w:spacing w:after="75"/>
        <w:ind w:left="390"/>
        <w:contextualSpacing w:val="0"/>
        <w:rPr>
          <w:rFonts w:eastAsia="Times New Roman" w:cs="Arial"/>
          <w:color w:val="7FADBC"/>
          <w:sz w:val="20"/>
          <w:szCs w:val="20"/>
        </w:rPr>
      </w:pPr>
      <w:hyperlink r:id="rId23" w:anchor="news_article_top" w:history="1">
        <w:r w:rsidRPr="00EA6FEE">
          <w:rPr>
            <w:rFonts w:eastAsia="Times New Roman" w:cs="Arial"/>
            <w:color w:val="7FADBC"/>
            <w:sz w:val="20"/>
            <w:szCs w:val="20"/>
          </w:rPr>
          <w:t>Advisers Act Alert Part 2: Executive Summary</w:t>
        </w:r>
      </w:hyperlink>
    </w:p>
    <w:p w:rsidR="00EA6FEE" w:rsidRPr="00EA6FEE" w:rsidRDefault="00EA6FEE" w:rsidP="00EA6FEE">
      <w:pPr>
        <w:numPr>
          <w:ilvl w:val="0"/>
          <w:numId w:val="4"/>
        </w:numPr>
        <w:spacing w:after="75"/>
        <w:ind w:left="390"/>
        <w:contextualSpacing w:val="0"/>
        <w:rPr>
          <w:rFonts w:eastAsia="Times New Roman" w:cs="Arial"/>
          <w:color w:val="7FADBC"/>
          <w:sz w:val="20"/>
          <w:szCs w:val="20"/>
        </w:rPr>
      </w:pPr>
      <w:hyperlink r:id="rId24" w:anchor="news_article_top" w:history="1">
        <w:r w:rsidRPr="00EA6FEE">
          <w:rPr>
            <w:rFonts w:eastAsia="Times New Roman" w:cs="Arial"/>
            <w:color w:val="7FADBC"/>
            <w:sz w:val="20"/>
            <w:szCs w:val="20"/>
          </w:rPr>
          <w:t>Advisers Act Alert Part 3: Timing and Exemptions During the Next Year</w:t>
        </w:r>
      </w:hyperlink>
    </w:p>
    <w:p w:rsidR="00EA6FEE" w:rsidRPr="00EA6FEE" w:rsidRDefault="00EA6FEE" w:rsidP="00EA6FEE">
      <w:pPr>
        <w:numPr>
          <w:ilvl w:val="0"/>
          <w:numId w:val="4"/>
        </w:numPr>
        <w:spacing w:after="75"/>
        <w:ind w:left="390"/>
        <w:contextualSpacing w:val="0"/>
        <w:rPr>
          <w:rFonts w:eastAsia="Times New Roman" w:cs="Arial"/>
          <w:color w:val="7FADBC"/>
          <w:sz w:val="20"/>
          <w:szCs w:val="20"/>
        </w:rPr>
      </w:pPr>
      <w:hyperlink r:id="rId25" w:anchor="news_article_top" w:history="1">
        <w:r w:rsidRPr="00EA6FEE">
          <w:rPr>
            <w:rFonts w:eastAsia="Times New Roman" w:cs="Arial"/>
            <w:color w:val="7FADBC"/>
            <w:sz w:val="20"/>
            <w:szCs w:val="20"/>
          </w:rPr>
          <w:t>Advisers Act Alert Part 4: Foreign Private Adviser Exemption</w:t>
        </w:r>
      </w:hyperlink>
    </w:p>
    <w:p w:rsidR="00EA6FEE" w:rsidRPr="00EA6FEE" w:rsidRDefault="00EA6FEE" w:rsidP="00EA6FEE">
      <w:pPr>
        <w:numPr>
          <w:ilvl w:val="0"/>
          <w:numId w:val="4"/>
        </w:numPr>
        <w:spacing w:after="75"/>
        <w:ind w:left="390"/>
        <w:contextualSpacing w:val="0"/>
        <w:rPr>
          <w:rFonts w:eastAsia="Times New Roman" w:cs="Arial"/>
          <w:color w:val="7FADBC"/>
          <w:sz w:val="20"/>
          <w:szCs w:val="20"/>
        </w:rPr>
      </w:pPr>
      <w:hyperlink r:id="rId26" w:anchor="news_article_top" w:history="1">
        <w:r w:rsidRPr="00EA6FEE">
          <w:rPr>
            <w:rFonts w:eastAsia="Times New Roman" w:cs="Arial"/>
            <w:color w:val="7FADBC"/>
            <w:sz w:val="20"/>
            <w:szCs w:val="20"/>
          </w:rPr>
          <w:t>Advisers Act Alert Part 5: "Exempt Reporting Advisers" or "ERAs"</w:t>
        </w:r>
      </w:hyperlink>
    </w:p>
    <w:p w:rsidR="00EA6FEE" w:rsidRPr="00EA6FEE" w:rsidRDefault="00EA6FEE" w:rsidP="00EA6FEE">
      <w:pPr>
        <w:numPr>
          <w:ilvl w:val="0"/>
          <w:numId w:val="4"/>
        </w:numPr>
        <w:spacing w:after="75"/>
        <w:ind w:left="390"/>
        <w:contextualSpacing w:val="0"/>
        <w:rPr>
          <w:rFonts w:eastAsia="Times New Roman" w:cs="Arial"/>
          <w:color w:val="7FADBC"/>
          <w:sz w:val="20"/>
          <w:szCs w:val="20"/>
        </w:rPr>
      </w:pPr>
      <w:hyperlink r:id="rId27" w:anchor="news_article_top" w:history="1">
        <w:r w:rsidRPr="00EA6FEE">
          <w:rPr>
            <w:rFonts w:eastAsia="Times New Roman" w:cs="Arial"/>
            <w:color w:val="7FADBC"/>
            <w:sz w:val="20"/>
            <w:szCs w:val="20"/>
          </w:rPr>
          <w:t>Advisers Act Alert Part 6: Registration Exemption for "Venture Capital Fund" Advisers</w:t>
        </w:r>
      </w:hyperlink>
    </w:p>
    <w:p w:rsidR="00EA6FEE" w:rsidRPr="00EA6FEE" w:rsidRDefault="00EA6FEE" w:rsidP="00EA6FEE">
      <w:pPr>
        <w:numPr>
          <w:ilvl w:val="0"/>
          <w:numId w:val="4"/>
        </w:numPr>
        <w:spacing w:after="75"/>
        <w:ind w:left="390"/>
        <w:contextualSpacing w:val="0"/>
        <w:rPr>
          <w:rFonts w:eastAsia="Times New Roman" w:cs="Arial"/>
          <w:color w:val="292517"/>
          <w:sz w:val="20"/>
          <w:szCs w:val="20"/>
        </w:rPr>
      </w:pPr>
      <w:r w:rsidRPr="00EA6FEE">
        <w:rPr>
          <w:rFonts w:eastAsia="Times New Roman" w:cs="Arial"/>
          <w:color w:val="292517"/>
          <w:sz w:val="20"/>
          <w:szCs w:val="20"/>
        </w:rPr>
        <w:t>Advisers Act Alert Part 7: Registration Exemption for Private Fund Advisers</w:t>
      </w:r>
    </w:p>
    <w:p w:rsidR="00EA6FEE" w:rsidRPr="00EA6FEE" w:rsidRDefault="00EA6FEE" w:rsidP="00EA6FEE">
      <w:pPr>
        <w:numPr>
          <w:ilvl w:val="0"/>
          <w:numId w:val="4"/>
        </w:numPr>
        <w:spacing w:after="75"/>
        <w:ind w:left="390"/>
        <w:contextualSpacing w:val="0"/>
        <w:rPr>
          <w:rFonts w:eastAsia="Times New Roman" w:cs="Arial"/>
          <w:color w:val="7FADBC"/>
          <w:sz w:val="20"/>
          <w:szCs w:val="20"/>
        </w:rPr>
      </w:pPr>
      <w:hyperlink r:id="rId28" w:anchor="news_article_top" w:history="1">
        <w:r w:rsidRPr="00EA6FEE">
          <w:rPr>
            <w:rFonts w:eastAsia="Times New Roman" w:cs="Arial"/>
            <w:color w:val="7FADBC"/>
            <w:sz w:val="20"/>
            <w:szCs w:val="20"/>
          </w:rPr>
          <w:t>Advisers Act Alert Part 8: Calculating Assets Under Management and Its Implications</w:t>
        </w:r>
      </w:hyperlink>
    </w:p>
    <w:p w:rsidR="00EA6FEE" w:rsidRPr="00EA6FEE" w:rsidRDefault="00EA6FEE" w:rsidP="00EA6FEE">
      <w:pPr>
        <w:numPr>
          <w:ilvl w:val="0"/>
          <w:numId w:val="4"/>
        </w:numPr>
        <w:spacing w:after="75"/>
        <w:ind w:left="390"/>
        <w:contextualSpacing w:val="0"/>
        <w:rPr>
          <w:rFonts w:eastAsia="Times New Roman" w:cs="Arial"/>
          <w:color w:val="7FADBC"/>
          <w:sz w:val="20"/>
          <w:szCs w:val="20"/>
        </w:rPr>
      </w:pPr>
      <w:hyperlink r:id="rId29" w:anchor="news_article_top" w:history="1">
        <w:r w:rsidRPr="00EA6FEE">
          <w:rPr>
            <w:rFonts w:eastAsia="Times New Roman" w:cs="Arial"/>
            <w:color w:val="7FADBC"/>
            <w:sz w:val="20"/>
            <w:szCs w:val="20"/>
          </w:rPr>
          <w:t xml:space="preserve">Advisers Act Alert Part 9: State </w:t>
        </w:r>
        <w:proofErr w:type="spellStart"/>
        <w:r w:rsidRPr="00EA6FEE">
          <w:rPr>
            <w:rFonts w:eastAsia="Times New Roman" w:cs="Arial"/>
            <w:color w:val="7FADBC"/>
            <w:sz w:val="20"/>
            <w:szCs w:val="20"/>
          </w:rPr>
          <w:t>vs</w:t>
        </w:r>
        <w:proofErr w:type="spellEnd"/>
        <w:r w:rsidRPr="00EA6FEE">
          <w:rPr>
            <w:rFonts w:eastAsia="Times New Roman" w:cs="Arial"/>
            <w:color w:val="7FADBC"/>
            <w:sz w:val="20"/>
            <w:szCs w:val="20"/>
          </w:rPr>
          <w:t xml:space="preserve"> Federal Registration</w:t>
        </w:r>
      </w:hyperlink>
    </w:p>
    <w:p w:rsidR="00EA6FEE" w:rsidRPr="00EA6FEE" w:rsidRDefault="00EA6FEE" w:rsidP="00EA6FEE">
      <w:pPr>
        <w:numPr>
          <w:ilvl w:val="0"/>
          <w:numId w:val="4"/>
        </w:numPr>
        <w:spacing w:after="75"/>
        <w:ind w:left="390"/>
        <w:contextualSpacing w:val="0"/>
        <w:rPr>
          <w:rFonts w:eastAsia="Times New Roman" w:cs="Arial"/>
          <w:color w:val="7FADBC"/>
          <w:sz w:val="20"/>
          <w:szCs w:val="20"/>
        </w:rPr>
      </w:pPr>
      <w:hyperlink r:id="rId30" w:anchor="news_article_top" w:history="1">
        <w:r w:rsidRPr="00EA6FEE">
          <w:rPr>
            <w:rFonts w:eastAsia="Times New Roman" w:cs="Arial"/>
            <w:color w:val="7FADBC"/>
            <w:sz w:val="20"/>
            <w:szCs w:val="20"/>
          </w:rPr>
          <w:t>Advisers Act Alert Part 10: Other Matters</w:t>
        </w:r>
      </w:hyperlink>
    </w:p>
    <w:p w:rsidR="00EA6FEE" w:rsidRPr="00EA6FEE" w:rsidRDefault="00EA6FEE" w:rsidP="00EA6FEE">
      <w:pPr>
        <w:numPr>
          <w:ilvl w:val="0"/>
          <w:numId w:val="4"/>
        </w:numPr>
        <w:ind w:left="390"/>
        <w:contextualSpacing w:val="0"/>
        <w:rPr>
          <w:rFonts w:eastAsia="Times New Roman" w:cs="Arial"/>
          <w:color w:val="7FADBC"/>
          <w:sz w:val="20"/>
          <w:szCs w:val="20"/>
        </w:rPr>
      </w:pPr>
      <w:hyperlink r:id="rId31" w:anchor="news_article_top" w:history="1">
        <w:r w:rsidRPr="00EA6FEE">
          <w:rPr>
            <w:rFonts w:eastAsia="Times New Roman" w:cs="Arial"/>
            <w:color w:val="7FADBC"/>
            <w:sz w:val="20"/>
            <w:szCs w:val="20"/>
          </w:rPr>
          <w:t>Advisers Act Alert Part 11: Resources and Appendices</w:t>
        </w:r>
      </w:hyperlink>
    </w:p>
    <w:p w:rsidR="00EA6FEE" w:rsidRDefault="00EA6FEE" w:rsidP="00EA6FEE">
      <w:pPr>
        <w:spacing w:before="100" w:beforeAutospacing="1" w:after="100" w:afterAutospacing="1"/>
        <w:contextualSpacing w:val="0"/>
        <w:rPr>
          <w:rFonts w:eastAsia="Times New Roman" w:cs="Arial"/>
        </w:rPr>
      </w:pPr>
    </w:p>
    <w:p w:rsidR="00EA6FEE" w:rsidRDefault="00EA6FEE" w:rsidP="00EA6FEE">
      <w:pPr>
        <w:spacing w:before="100" w:beforeAutospacing="1" w:after="100" w:afterAutospacing="1"/>
        <w:contextualSpacing w:val="0"/>
        <w:rPr>
          <w:rFonts w:eastAsia="Times New Roman" w:cs="Arial"/>
        </w:rPr>
      </w:pPr>
    </w:p>
    <w:p w:rsidR="00EA6FEE" w:rsidRDefault="00EA6FEE" w:rsidP="00EA6FEE">
      <w:pPr>
        <w:spacing w:before="100" w:beforeAutospacing="1" w:after="100" w:afterAutospacing="1"/>
        <w:contextualSpacing w:val="0"/>
        <w:rPr>
          <w:rFonts w:eastAsia="Times New Roman" w:cs="Arial"/>
        </w:rPr>
      </w:pPr>
    </w:p>
    <w:p w:rsidR="00EA6FEE" w:rsidRPr="00EA6FEE" w:rsidRDefault="00EA6FEE" w:rsidP="00EA6FEE">
      <w:pPr>
        <w:spacing w:before="100" w:beforeAutospacing="1" w:after="100" w:afterAutospacing="1"/>
        <w:contextualSpacing w:val="0"/>
        <w:rPr>
          <w:rFonts w:eastAsia="Times New Roman" w:cs="Arial"/>
        </w:rPr>
      </w:pPr>
      <w:r w:rsidRPr="00EA6FEE">
        <w:rPr>
          <w:rFonts w:eastAsia="Times New Roman" w:cs="Arial"/>
        </w:rPr>
        <w:t xml:space="preserve">This publication, which may be considered advertising under the ethical rules of certain jurisdictions, is provided with the understanding that it does not constitute the rendering of legal advice or other professional advice by Goodwin Procter LLP or its attorneys. Copyright © 2012 Goodwin Procter LLP. </w:t>
      </w:r>
    </w:p>
    <w:p w:rsidR="00EA6FEE" w:rsidRPr="00EA6FEE" w:rsidRDefault="00EA6FEE" w:rsidP="00EA6FEE">
      <w:pPr>
        <w:spacing w:before="100" w:beforeAutospacing="1" w:after="100" w:afterAutospacing="1"/>
        <w:contextualSpacing w:val="0"/>
        <w:rPr>
          <w:rFonts w:eastAsia="Times New Roman" w:cs="Arial"/>
        </w:rPr>
      </w:pPr>
      <w:r w:rsidRPr="00EA6FEE">
        <w:rPr>
          <w:rFonts w:eastAsia="Times New Roman" w:cs="Arial"/>
          <w:b/>
          <w:bCs/>
        </w:rPr>
        <w:t>IRS Circular 230 Notice:</w:t>
      </w:r>
      <w:r w:rsidRPr="00EA6FEE">
        <w:rPr>
          <w:rFonts w:eastAsia="Times New Roman" w:cs="Arial"/>
        </w:rPr>
        <w:t xml:space="preserve"> </w:t>
      </w:r>
    </w:p>
    <w:p w:rsidR="00EA6FEE" w:rsidRPr="00EA6FEE" w:rsidRDefault="00EA6FEE" w:rsidP="00EA6FEE">
      <w:pPr>
        <w:spacing w:before="100" w:beforeAutospacing="1" w:after="100" w:afterAutospacing="1"/>
        <w:contextualSpacing w:val="0"/>
        <w:rPr>
          <w:rFonts w:eastAsia="Times New Roman" w:cs="Arial"/>
        </w:rPr>
      </w:pPr>
      <w:r w:rsidRPr="00EA6FEE">
        <w:rPr>
          <w:rFonts w:eastAsia="Times New Roman" w:cs="Arial"/>
        </w:rPr>
        <w:t>To ensure compliance with requirements under Treasury Department Circular 230, we inform you that the contents of this publication are not intended or written to be used, and may not be used, for the purpose of (i) avoiding U.S. federal tax penalties or (ii) promoting, marketing or recommending to another party any matter addressed herein. Each taxpayer should seek advice based on the taxpayer’s particular circumstances from an independent tax adviser.</w:t>
      </w:r>
    </w:p>
    <w:p w:rsidR="00EA6FEE" w:rsidRPr="00EA6FEE" w:rsidRDefault="00EA6FEE"/>
    <w:sectPr w:rsidR="00EA6FEE" w:rsidRPr="00EA6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784F"/>
    <w:multiLevelType w:val="multilevel"/>
    <w:tmpl w:val="7CBA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36469A"/>
    <w:multiLevelType w:val="multilevel"/>
    <w:tmpl w:val="9D86A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1C4A0B"/>
    <w:multiLevelType w:val="multilevel"/>
    <w:tmpl w:val="9594B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3125C1"/>
    <w:multiLevelType w:val="multilevel"/>
    <w:tmpl w:val="19B0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EE"/>
    <w:rsid w:val="003E228B"/>
    <w:rsid w:val="00A27113"/>
    <w:rsid w:val="00C068C0"/>
    <w:rsid w:val="00C2314C"/>
    <w:rsid w:val="00EA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C0"/>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6FEE"/>
    <w:rPr>
      <w:strike w:val="0"/>
      <w:dstrike w:val="0"/>
      <w:color w:val="7FADBC"/>
      <w:u w:val="none"/>
      <w:effect w:val="none"/>
    </w:rPr>
  </w:style>
  <w:style w:type="paragraph" w:customStyle="1" w:styleId="text1">
    <w:name w:val="text1"/>
    <w:basedOn w:val="Normal"/>
    <w:rsid w:val="00EA6FEE"/>
    <w:pPr>
      <w:spacing w:before="100" w:beforeAutospacing="1" w:after="100" w:afterAutospacing="1"/>
      <w:contextualSpacing w:val="0"/>
    </w:pPr>
    <w:rPr>
      <w:rFonts w:ascii="Times New Roman" w:eastAsia="Times New Roman" w:hAnsi="Times New Roman" w:cs="Times New Roman"/>
      <w:sz w:val="18"/>
      <w:szCs w:val="18"/>
    </w:rPr>
  </w:style>
  <w:style w:type="character" w:styleId="Emphasis">
    <w:name w:val="Emphasis"/>
    <w:basedOn w:val="DefaultParagraphFont"/>
    <w:uiPriority w:val="20"/>
    <w:qFormat/>
    <w:rsid w:val="00EA6F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C0"/>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6FEE"/>
    <w:rPr>
      <w:strike w:val="0"/>
      <w:dstrike w:val="0"/>
      <w:color w:val="7FADBC"/>
      <w:u w:val="none"/>
      <w:effect w:val="none"/>
    </w:rPr>
  </w:style>
  <w:style w:type="paragraph" w:customStyle="1" w:styleId="text1">
    <w:name w:val="text1"/>
    <w:basedOn w:val="Normal"/>
    <w:rsid w:val="00EA6FEE"/>
    <w:pPr>
      <w:spacing w:before="100" w:beforeAutospacing="1" w:after="100" w:afterAutospacing="1"/>
      <w:contextualSpacing w:val="0"/>
    </w:pPr>
    <w:rPr>
      <w:rFonts w:ascii="Times New Roman" w:eastAsia="Times New Roman" w:hAnsi="Times New Roman" w:cs="Times New Roman"/>
      <w:sz w:val="18"/>
      <w:szCs w:val="18"/>
    </w:rPr>
  </w:style>
  <w:style w:type="character" w:styleId="Emphasis">
    <w:name w:val="Emphasis"/>
    <w:basedOn w:val="DefaultParagraphFont"/>
    <w:uiPriority w:val="20"/>
    <w:qFormat/>
    <w:rsid w:val="00EA6F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592615">
      <w:bodyDiv w:val="1"/>
      <w:marLeft w:val="0"/>
      <w:marRight w:val="0"/>
      <w:marTop w:val="0"/>
      <w:marBottom w:val="0"/>
      <w:divBdr>
        <w:top w:val="none" w:sz="0" w:space="0" w:color="auto"/>
        <w:left w:val="none" w:sz="0" w:space="0" w:color="auto"/>
        <w:bottom w:val="none" w:sz="0" w:space="0" w:color="auto"/>
        <w:right w:val="none" w:sz="0" w:space="0" w:color="auto"/>
      </w:divBdr>
      <w:divsChild>
        <w:div w:id="345401734">
          <w:marLeft w:val="0"/>
          <w:marRight w:val="0"/>
          <w:marTop w:val="0"/>
          <w:marBottom w:val="675"/>
          <w:divBdr>
            <w:top w:val="none" w:sz="0" w:space="0" w:color="auto"/>
            <w:left w:val="none" w:sz="0" w:space="0" w:color="auto"/>
            <w:bottom w:val="none" w:sz="0" w:space="0" w:color="auto"/>
            <w:right w:val="none" w:sz="0" w:space="0" w:color="auto"/>
          </w:divBdr>
          <w:divsChild>
            <w:div w:id="1774669009">
              <w:marLeft w:val="0"/>
              <w:marRight w:val="0"/>
              <w:marTop w:val="0"/>
              <w:marBottom w:val="0"/>
              <w:divBdr>
                <w:top w:val="none" w:sz="0" w:space="0" w:color="auto"/>
                <w:left w:val="none" w:sz="0" w:space="0" w:color="auto"/>
                <w:bottom w:val="none" w:sz="0" w:space="0" w:color="auto"/>
                <w:right w:val="none" w:sz="0" w:space="0" w:color="auto"/>
              </w:divBdr>
              <w:divsChild>
                <w:div w:id="1153107458">
                  <w:marLeft w:val="0"/>
                  <w:marRight w:val="0"/>
                  <w:marTop w:val="0"/>
                  <w:marBottom w:val="0"/>
                  <w:divBdr>
                    <w:top w:val="none" w:sz="0" w:space="0" w:color="auto"/>
                    <w:left w:val="none" w:sz="0" w:space="0" w:color="auto"/>
                    <w:bottom w:val="none" w:sz="0" w:space="0" w:color="auto"/>
                    <w:right w:val="none" w:sz="0" w:space="0" w:color="auto"/>
                  </w:divBdr>
                  <w:divsChild>
                    <w:div w:id="1155875192">
                      <w:marLeft w:val="0"/>
                      <w:marRight w:val="0"/>
                      <w:marTop w:val="0"/>
                      <w:marBottom w:val="0"/>
                      <w:divBdr>
                        <w:top w:val="none" w:sz="0" w:space="0" w:color="auto"/>
                        <w:left w:val="none" w:sz="0" w:space="0" w:color="auto"/>
                        <w:bottom w:val="none" w:sz="0" w:space="0" w:color="auto"/>
                        <w:right w:val="none" w:sz="0" w:space="0" w:color="auto"/>
                      </w:divBdr>
                      <w:divsChild>
                        <w:div w:id="1502546823">
                          <w:marLeft w:val="0"/>
                          <w:marRight w:val="0"/>
                          <w:marTop w:val="0"/>
                          <w:marBottom w:val="0"/>
                          <w:divBdr>
                            <w:top w:val="none" w:sz="0" w:space="0" w:color="auto"/>
                            <w:left w:val="none" w:sz="0" w:space="0" w:color="auto"/>
                            <w:bottom w:val="none" w:sz="0" w:space="0" w:color="auto"/>
                            <w:right w:val="none" w:sz="0" w:space="0" w:color="auto"/>
                          </w:divBdr>
                          <w:divsChild>
                            <w:div w:id="406269224">
                              <w:marLeft w:val="0"/>
                              <w:marRight w:val="0"/>
                              <w:marTop w:val="0"/>
                              <w:marBottom w:val="0"/>
                              <w:divBdr>
                                <w:top w:val="none" w:sz="0" w:space="0" w:color="auto"/>
                                <w:left w:val="none" w:sz="0" w:space="0" w:color="auto"/>
                                <w:bottom w:val="none" w:sz="0" w:space="0" w:color="auto"/>
                                <w:right w:val="none" w:sz="0" w:space="0" w:color="auto"/>
                              </w:divBdr>
                            </w:div>
                            <w:div w:id="1937013707">
                              <w:marLeft w:val="0"/>
                              <w:marRight w:val="0"/>
                              <w:marTop w:val="0"/>
                              <w:marBottom w:val="0"/>
                              <w:divBdr>
                                <w:top w:val="none" w:sz="0" w:space="0" w:color="auto"/>
                                <w:left w:val="none" w:sz="0" w:space="0" w:color="auto"/>
                                <w:bottom w:val="none" w:sz="0" w:space="0" w:color="auto"/>
                                <w:right w:val="none" w:sz="0" w:space="0" w:color="auto"/>
                              </w:divBdr>
                              <w:divsChild>
                                <w:div w:id="312835546">
                                  <w:marLeft w:val="0"/>
                                  <w:marRight w:val="0"/>
                                  <w:marTop w:val="0"/>
                                  <w:marBottom w:val="0"/>
                                  <w:divBdr>
                                    <w:top w:val="none" w:sz="0" w:space="0" w:color="auto"/>
                                    <w:left w:val="none" w:sz="0" w:space="0" w:color="auto"/>
                                    <w:bottom w:val="none" w:sz="0" w:space="0" w:color="auto"/>
                                    <w:right w:val="none" w:sz="0" w:space="0" w:color="auto"/>
                                  </w:divBdr>
                                </w:div>
                                <w:div w:id="923563649">
                                  <w:marLeft w:val="0"/>
                                  <w:marRight w:val="0"/>
                                  <w:marTop w:val="0"/>
                                  <w:marBottom w:val="0"/>
                                  <w:divBdr>
                                    <w:top w:val="none" w:sz="0" w:space="0" w:color="auto"/>
                                    <w:left w:val="none" w:sz="0" w:space="0" w:color="auto"/>
                                    <w:bottom w:val="none" w:sz="0" w:space="0" w:color="auto"/>
                                    <w:right w:val="none" w:sz="0" w:space="0" w:color="auto"/>
                                  </w:divBdr>
                                </w:div>
                                <w:div w:id="1723168739">
                                  <w:marLeft w:val="0"/>
                                  <w:marRight w:val="0"/>
                                  <w:marTop w:val="0"/>
                                  <w:marBottom w:val="0"/>
                                  <w:divBdr>
                                    <w:top w:val="none" w:sz="0" w:space="0" w:color="auto"/>
                                    <w:left w:val="none" w:sz="0" w:space="0" w:color="auto"/>
                                    <w:bottom w:val="none" w:sz="0" w:space="0" w:color="auto"/>
                                    <w:right w:val="none" w:sz="0" w:space="0" w:color="auto"/>
                                  </w:divBdr>
                                </w:div>
                                <w:div w:id="1825702862">
                                  <w:marLeft w:val="0"/>
                                  <w:marRight w:val="0"/>
                                  <w:marTop w:val="0"/>
                                  <w:marBottom w:val="0"/>
                                  <w:divBdr>
                                    <w:top w:val="none" w:sz="0" w:space="0" w:color="auto"/>
                                    <w:left w:val="none" w:sz="0" w:space="0" w:color="auto"/>
                                    <w:bottom w:val="none" w:sz="0" w:space="0" w:color="auto"/>
                                    <w:right w:val="none" w:sz="0" w:space="0" w:color="auto"/>
                                  </w:divBdr>
                                </w:div>
                                <w:div w:id="195775882">
                                  <w:marLeft w:val="0"/>
                                  <w:marRight w:val="0"/>
                                  <w:marTop w:val="0"/>
                                  <w:marBottom w:val="0"/>
                                  <w:divBdr>
                                    <w:top w:val="none" w:sz="0" w:space="0" w:color="auto"/>
                                    <w:left w:val="none" w:sz="0" w:space="0" w:color="auto"/>
                                    <w:bottom w:val="none" w:sz="0" w:space="0" w:color="auto"/>
                                    <w:right w:val="none" w:sz="0" w:space="0" w:color="auto"/>
                                  </w:divBdr>
                                </w:div>
                                <w:div w:id="8987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25601">
                  <w:marLeft w:val="0"/>
                  <w:marRight w:val="0"/>
                  <w:marTop w:val="0"/>
                  <w:marBottom w:val="0"/>
                  <w:divBdr>
                    <w:top w:val="none" w:sz="0" w:space="0" w:color="auto"/>
                    <w:left w:val="none" w:sz="0" w:space="0" w:color="auto"/>
                    <w:bottom w:val="none" w:sz="0" w:space="0" w:color="auto"/>
                    <w:right w:val="none" w:sz="0" w:space="0" w:color="auto"/>
                  </w:divBdr>
                  <w:divsChild>
                    <w:div w:id="378092044">
                      <w:marLeft w:val="0"/>
                      <w:marRight w:val="0"/>
                      <w:marTop w:val="0"/>
                      <w:marBottom w:val="0"/>
                      <w:divBdr>
                        <w:top w:val="none" w:sz="0" w:space="0" w:color="auto"/>
                        <w:left w:val="none" w:sz="0" w:space="0" w:color="auto"/>
                        <w:bottom w:val="single" w:sz="6" w:space="8" w:color="7FADBC"/>
                        <w:right w:val="none" w:sz="0" w:space="0" w:color="auto"/>
                      </w:divBdr>
                    </w:div>
                  </w:divsChild>
                </w:div>
              </w:divsChild>
            </w:div>
          </w:divsChild>
        </w:div>
      </w:divsChild>
    </w:div>
    <w:div w:id="1939480256">
      <w:bodyDiv w:val="1"/>
      <w:marLeft w:val="0"/>
      <w:marRight w:val="0"/>
      <w:marTop w:val="0"/>
      <w:marBottom w:val="0"/>
      <w:divBdr>
        <w:top w:val="none" w:sz="0" w:space="0" w:color="auto"/>
        <w:left w:val="none" w:sz="0" w:space="0" w:color="auto"/>
        <w:bottom w:val="none" w:sz="0" w:space="0" w:color="auto"/>
        <w:right w:val="none" w:sz="0" w:space="0" w:color="auto"/>
      </w:divBdr>
      <w:divsChild>
        <w:div w:id="1028719452">
          <w:marLeft w:val="0"/>
          <w:marRight w:val="0"/>
          <w:marTop w:val="0"/>
          <w:marBottom w:val="675"/>
          <w:divBdr>
            <w:top w:val="none" w:sz="0" w:space="0" w:color="auto"/>
            <w:left w:val="none" w:sz="0" w:space="0" w:color="auto"/>
            <w:bottom w:val="none" w:sz="0" w:space="0" w:color="auto"/>
            <w:right w:val="none" w:sz="0" w:space="0" w:color="auto"/>
          </w:divBdr>
          <w:divsChild>
            <w:div w:id="722797570">
              <w:marLeft w:val="0"/>
              <w:marRight w:val="0"/>
              <w:marTop w:val="0"/>
              <w:marBottom w:val="0"/>
              <w:divBdr>
                <w:top w:val="none" w:sz="0" w:space="0" w:color="auto"/>
                <w:left w:val="none" w:sz="0" w:space="0" w:color="auto"/>
                <w:bottom w:val="none" w:sz="0" w:space="0" w:color="auto"/>
                <w:right w:val="none" w:sz="0" w:space="0" w:color="auto"/>
              </w:divBdr>
              <w:divsChild>
                <w:div w:id="296685988">
                  <w:marLeft w:val="0"/>
                  <w:marRight w:val="0"/>
                  <w:marTop w:val="0"/>
                  <w:marBottom w:val="0"/>
                  <w:divBdr>
                    <w:top w:val="none" w:sz="0" w:space="0" w:color="auto"/>
                    <w:left w:val="none" w:sz="0" w:space="0" w:color="auto"/>
                    <w:bottom w:val="none" w:sz="0" w:space="0" w:color="auto"/>
                    <w:right w:val="none" w:sz="0" w:space="0" w:color="auto"/>
                  </w:divBdr>
                  <w:divsChild>
                    <w:div w:id="1298149236">
                      <w:marLeft w:val="0"/>
                      <w:marRight w:val="0"/>
                      <w:marTop w:val="0"/>
                      <w:marBottom w:val="0"/>
                      <w:divBdr>
                        <w:top w:val="none" w:sz="0" w:space="0" w:color="auto"/>
                        <w:left w:val="none" w:sz="0" w:space="0" w:color="auto"/>
                        <w:bottom w:val="none" w:sz="0" w:space="0" w:color="auto"/>
                        <w:right w:val="none" w:sz="0" w:space="0" w:color="auto"/>
                      </w:divBdr>
                      <w:divsChild>
                        <w:div w:id="417867315">
                          <w:marLeft w:val="0"/>
                          <w:marRight w:val="0"/>
                          <w:marTop w:val="0"/>
                          <w:marBottom w:val="0"/>
                          <w:divBdr>
                            <w:top w:val="none" w:sz="0" w:space="0" w:color="auto"/>
                            <w:left w:val="none" w:sz="0" w:space="0" w:color="auto"/>
                            <w:bottom w:val="none" w:sz="0" w:space="0" w:color="auto"/>
                            <w:right w:val="none" w:sz="0" w:space="0" w:color="auto"/>
                          </w:divBdr>
                        </w:div>
                        <w:div w:id="852569236">
                          <w:marLeft w:val="0"/>
                          <w:marRight w:val="0"/>
                          <w:marTop w:val="0"/>
                          <w:marBottom w:val="0"/>
                          <w:divBdr>
                            <w:top w:val="none" w:sz="0" w:space="0" w:color="auto"/>
                            <w:left w:val="none" w:sz="0" w:space="0" w:color="auto"/>
                            <w:bottom w:val="none" w:sz="0" w:space="0" w:color="auto"/>
                            <w:right w:val="none" w:sz="0" w:space="0" w:color="auto"/>
                          </w:divBdr>
                          <w:divsChild>
                            <w:div w:id="4581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2043">
                  <w:marLeft w:val="0"/>
                  <w:marRight w:val="0"/>
                  <w:marTop w:val="0"/>
                  <w:marBottom w:val="0"/>
                  <w:divBdr>
                    <w:top w:val="none" w:sz="0" w:space="0" w:color="auto"/>
                    <w:left w:val="none" w:sz="0" w:space="0" w:color="auto"/>
                    <w:bottom w:val="none" w:sz="0" w:space="0" w:color="auto"/>
                    <w:right w:val="none" w:sz="0" w:space="0" w:color="auto"/>
                  </w:divBdr>
                  <w:divsChild>
                    <w:div w:id="1964340751">
                      <w:marLeft w:val="0"/>
                      <w:marRight w:val="0"/>
                      <w:marTop w:val="0"/>
                      <w:marBottom w:val="0"/>
                      <w:divBdr>
                        <w:top w:val="none" w:sz="0" w:space="0" w:color="auto"/>
                        <w:left w:val="none" w:sz="0" w:space="0" w:color="auto"/>
                        <w:bottom w:val="single" w:sz="6" w:space="8" w:color="7FADBC"/>
                        <w:right w:val="none" w:sz="0" w:space="0" w:color="auto"/>
                      </w:divBdr>
                    </w:div>
                  </w:divsChild>
                </w:div>
                <w:div w:id="192618943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dwinprocter.com/Publications/Newsletters/Client-Alert/2011/0630_SEC-Adopts-New-Advisers-Act-Rules-and-Implements-Registration-Exemptions.aspx?article=9" TargetMode="External"/><Relationship Id="rId18" Type="http://schemas.openxmlformats.org/officeDocument/2006/relationships/hyperlink" Target="http://www.goodwinprocter.com/sitecore/service/notfound.aspx?item=web%3a%7b7AF2EE75-1682-40AD-A19D-F6BDC9A7052F%7d%40en" TargetMode="External"/><Relationship Id="rId26" Type="http://schemas.openxmlformats.org/officeDocument/2006/relationships/hyperlink" Target="http://www.goodwinprocter.com/Publications/Newsletters/Client-Alert/2011/0630_SEC-Adopts-New-Advisers-Act-Rules-and-Implements-Registration-Exemptions.aspx?article=5" TargetMode="External"/><Relationship Id="rId3" Type="http://schemas.microsoft.com/office/2007/relationships/stylesWithEffects" Target="stylesWithEffects.xml"/><Relationship Id="rId21" Type="http://schemas.openxmlformats.org/officeDocument/2006/relationships/hyperlink" Target="http://www.goodwinprocter.com/Publications/Newsletters/Client-Alert/2011/0630_SEC-Adopts-New-Advisers-Act-Rules-and-Implements-Registration-Exemptions.aspx?article=8" TargetMode="External"/><Relationship Id="rId7" Type="http://schemas.openxmlformats.org/officeDocument/2006/relationships/hyperlink" Target="http://www.goodwinprocter.com/Publications/Newsletters/Client-Alert/2011/0630_SEC-Adopts-New-Advisers-Act-Rules-and-Implements-Registration-Exemptions.aspx?article=2" TargetMode="External"/><Relationship Id="rId12" Type="http://schemas.openxmlformats.org/officeDocument/2006/relationships/hyperlink" Target="http://www.goodwinprocter.com/Publications/Newsletters/Client-Alert/2011/0630_SEC-Adopts-New-Advisers-Act-Rules-and-Implements-Registration-Exemptions.aspx?article=8" TargetMode="External"/><Relationship Id="rId17" Type="http://schemas.openxmlformats.org/officeDocument/2006/relationships/hyperlink" Target="http://www.goodwinprocter.com/sitecore/service/notfound.aspx?item=web%3a%7bEF8C02D8-FEE1-4524-9154-22724748B68E%7d%40en" TargetMode="External"/><Relationship Id="rId25" Type="http://schemas.openxmlformats.org/officeDocument/2006/relationships/hyperlink" Target="http://www.goodwinprocter.com/Publications/Newsletters/Client-Alert/2011/0630_SEC-Adopts-New-Advisers-Act-Rules-and-Implements-Registration-Exemptions.aspx?article=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odwinprocter.com/Publications/Newsletters/Client-Alert/2011/0630_SEC-Adopts-New-Advisers-Act-Rules-and-Implements-Registration-Exemptions.aspx?article=4" TargetMode="External"/><Relationship Id="rId20" Type="http://schemas.openxmlformats.org/officeDocument/2006/relationships/hyperlink" Target="http://www.goodwinprocter.com/Publications/Newsletters/Client-Alert/2011/0630_SEC-Adopts-New-Advisers-Act-Rules-and-Implements-Registration-Exemptions.aspx?article=7" TargetMode="External"/><Relationship Id="rId29" Type="http://schemas.openxmlformats.org/officeDocument/2006/relationships/hyperlink" Target="http://www.goodwinprocter.com/Publications/Newsletters/Client-Alert/2011/0630_SEC-Adopts-New-Advisers-Act-Rules-and-Implements-Registration-Exemptions.aspx?article=9" TargetMode="External"/><Relationship Id="rId1" Type="http://schemas.openxmlformats.org/officeDocument/2006/relationships/numbering" Target="numbering.xml"/><Relationship Id="rId6" Type="http://schemas.openxmlformats.org/officeDocument/2006/relationships/hyperlink" Target="http://www.goodwinprocter.com/Publications/Newsletters/Client-Alert/2011/0630_SEC-Adopts-New-Advisers-Act-Rules-and-Implements-Registration-Exemptions.aspx?article=1" TargetMode="External"/><Relationship Id="rId11" Type="http://schemas.openxmlformats.org/officeDocument/2006/relationships/hyperlink" Target="http://www.goodwinprocter.com/Publications/Newsletters/Client-Alert/2011/0630_SEC-Adopts-New-Advisers-Act-Rules-and-Implements-Registration-Exemptions.aspx?article=7" TargetMode="External"/><Relationship Id="rId24" Type="http://schemas.openxmlformats.org/officeDocument/2006/relationships/hyperlink" Target="http://www.goodwinprocter.com/Publications/Newsletters/Client-Alert/2011/0630_SEC-Adopts-New-Advisers-Act-Rules-and-Implements-Registration-Exemptions.aspx?article=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dwinprocter.com/Publications/Newsletters/Client-Alert/2011/0630_SEC-Adopts-New-Advisers-Act-Rules-and-Implements-Registration-Exemptions.aspx?article=11" TargetMode="External"/><Relationship Id="rId23" Type="http://schemas.openxmlformats.org/officeDocument/2006/relationships/hyperlink" Target="http://www.goodwinprocter.com/Publications/Newsletters/Client-Alert/2011/0630_SEC-Adopts-New-Advisers-Act-Rules-and-Implements-Registration-Exemptions.aspx?article=2" TargetMode="External"/><Relationship Id="rId28" Type="http://schemas.openxmlformats.org/officeDocument/2006/relationships/hyperlink" Target="http://www.goodwinprocter.com/Publications/Newsletters/Client-Alert/2011/0630_SEC-Adopts-New-Advisers-Act-Rules-and-Implements-Registration-Exemptions.aspx?article=8" TargetMode="External"/><Relationship Id="rId10" Type="http://schemas.openxmlformats.org/officeDocument/2006/relationships/hyperlink" Target="http://www.goodwinprocter.com/Publications/Newsletters/Client-Alert/2011/0630_SEC-Adopts-New-Advisers-Act-Rules-and-Implements-Registration-Exemptions.aspx?article=6" TargetMode="External"/><Relationship Id="rId19" Type="http://schemas.openxmlformats.org/officeDocument/2006/relationships/hyperlink" Target="http://www.goodwinprocter.com/sitecore/service/notfound.aspx?item=web%3a%7bE5F24546-6D47-4796-8937-46AEF92CB24E%7d%40en" TargetMode="External"/><Relationship Id="rId31" Type="http://schemas.openxmlformats.org/officeDocument/2006/relationships/hyperlink" Target="http://www.goodwinprocter.com/Publications/Newsletters/Client-Alert/2011/0630_SEC-Adopts-New-Advisers-Act-Rules-and-Implements-Registration-Exemptions.aspx?article=11" TargetMode="External"/><Relationship Id="rId4" Type="http://schemas.openxmlformats.org/officeDocument/2006/relationships/settings" Target="settings.xml"/><Relationship Id="rId9" Type="http://schemas.openxmlformats.org/officeDocument/2006/relationships/hyperlink" Target="http://www.goodwinprocter.com/Publications/Newsletters/Client-Alert/2011/0630_SEC-Adopts-New-Advisers-Act-Rules-and-Implements-Registration-Exemptions.aspx?article=4" TargetMode="External"/><Relationship Id="rId14" Type="http://schemas.openxmlformats.org/officeDocument/2006/relationships/hyperlink" Target="http://www.goodwinprocter.com/Publications/Newsletters/Client-Alert/2011/0630_SEC-Adopts-New-Advisers-Act-Rules-and-Implements-Registration-Exemptions.aspx?article=10" TargetMode="External"/><Relationship Id="rId22" Type="http://schemas.openxmlformats.org/officeDocument/2006/relationships/hyperlink" Target="http://www.goodwinprocter.com/Publications/Newsletters/Client-Alert/2011/0630_SEC-Adopts-New-Advisers-Act-Rules-and-Implements-Registration-Exemptions.aspx?article=1" TargetMode="External"/><Relationship Id="rId27" Type="http://schemas.openxmlformats.org/officeDocument/2006/relationships/hyperlink" Target="http://www.goodwinprocter.com/Publications/Newsletters/Client-Alert/2011/0630_SEC-Adopts-New-Advisers-Act-Rules-and-Implements-Registration-Exemptions.aspx?article=6" TargetMode="External"/><Relationship Id="rId30" Type="http://schemas.openxmlformats.org/officeDocument/2006/relationships/hyperlink" Target="http://www.goodwinprocter.com/Publications/Newsletters/Client-Alert/2011/0630_SEC-Adopts-New-Advisers-Act-Rules-and-Implements-Registration-Exemptions.aspx?article=10" TargetMode="External"/><Relationship Id="rId8" Type="http://schemas.openxmlformats.org/officeDocument/2006/relationships/hyperlink" Target="http://www.goodwinprocter.com/Publications/Newsletters/Client-Alert/2011/0630_SEC-Adopts-New-Advisers-Act-Rules-and-Implements-Registration-Exemptions.aspx?articl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7</Pages>
  <Words>4186</Words>
  <Characters>23865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Fallon-Houle, Nancy</dc:creator>
  <cp:lastModifiedBy>Fallon-Houle, Nancy</cp:lastModifiedBy>
  <cp:revision>1</cp:revision>
  <dcterms:created xsi:type="dcterms:W3CDTF">2012-02-09T00:12:00Z</dcterms:created>
  <dcterms:modified xsi:type="dcterms:W3CDTF">2012-02-09T05:50:00Z</dcterms:modified>
</cp:coreProperties>
</file>